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9516F2" w:rsidRPr="00E80532" w:rsidRDefault="009516F2" w:rsidP="00E80532">
      <w:pPr>
        <w:ind w:left="-5"/>
        <w:jc w:val="right"/>
        <w:rPr>
          <w:rFonts w:ascii="Arial" w:eastAsiaTheme="minorEastAsia" w:hAnsi="Arial" w:cs="Arial"/>
          <w:sz w:val="22"/>
          <w:szCs w:val="22"/>
        </w:rPr>
      </w:pPr>
      <w:r w:rsidRPr="00E80532">
        <w:rPr>
          <w:rFonts w:ascii="Arial" w:eastAsiaTheme="minorEastAsia" w:hAnsi="Arial" w:cs="Arial"/>
          <w:sz w:val="22"/>
          <w:szCs w:val="22"/>
        </w:rPr>
        <w:t xml:space="preserve">September </w:t>
      </w:r>
      <w:r w:rsidR="004F4A44" w:rsidRPr="00E80532">
        <w:rPr>
          <w:rFonts w:ascii="Arial" w:eastAsiaTheme="minorEastAsia" w:hAnsi="Arial" w:cs="Arial"/>
          <w:sz w:val="22"/>
          <w:szCs w:val="22"/>
        </w:rPr>
        <w:t>1</w:t>
      </w:r>
      <w:r w:rsidR="00530551" w:rsidRPr="00E80532">
        <w:rPr>
          <w:rFonts w:ascii="Arial" w:eastAsiaTheme="minorEastAsia" w:hAnsi="Arial" w:cs="Arial"/>
          <w:sz w:val="22"/>
          <w:szCs w:val="22"/>
        </w:rPr>
        <w:t>4</w:t>
      </w:r>
      <w:r w:rsidRPr="00E80532">
        <w:rPr>
          <w:rFonts w:ascii="Arial" w:eastAsiaTheme="minorEastAsia" w:hAnsi="Arial" w:cs="Arial"/>
          <w:sz w:val="22"/>
          <w:szCs w:val="22"/>
        </w:rPr>
        <w:t xml:space="preserve">, 2018  </w:t>
      </w:r>
    </w:p>
    <w:p w:rsidR="00E80532" w:rsidRDefault="009516F2" w:rsidP="009516F2">
      <w:pPr>
        <w:ind w:right="190"/>
        <w:jc w:val="center"/>
        <w:rPr>
          <w:rFonts w:ascii="Arial" w:eastAsia="Arial" w:hAnsi="Arial" w:cs="Arial"/>
          <w:sz w:val="22"/>
          <w:szCs w:val="22"/>
        </w:rPr>
      </w:pPr>
      <w:r w:rsidRPr="00E80532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53102F" w:rsidRPr="00E80532">
        <w:rPr>
          <w:rFonts w:ascii="Arial" w:eastAsia="Arial" w:hAnsi="Arial" w:cs="Arial"/>
          <w:b/>
          <w:sz w:val="22"/>
          <w:szCs w:val="22"/>
        </w:rPr>
        <w:t xml:space="preserve">September </w:t>
      </w:r>
      <w:r w:rsidR="00301CB3" w:rsidRPr="00E80532">
        <w:rPr>
          <w:rFonts w:ascii="Arial" w:eastAsia="Arial" w:hAnsi="Arial" w:cs="Arial"/>
          <w:b/>
          <w:sz w:val="22"/>
          <w:szCs w:val="22"/>
        </w:rPr>
        <w:t>1</w:t>
      </w:r>
      <w:r w:rsidR="00EB2890" w:rsidRPr="00E80532">
        <w:rPr>
          <w:rFonts w:ascii="Arial" w:eastAsia="Arial" w:hAnsi="Arial" w:cs="Arial"/>
          <w:b/>
          <w:sz w:val="22"/>
          <w:szCs w:val="22"/>
        </w:rPr>
        <w:t>3</w:t>
      </w:r>
      <w:r w:rsidRPr="00E80532">
        <w:rPr>
          <w:rFonts w:ascii="Arial" w:eastAsia="Arial" w:hAnsi="Arial" w:cs="Arial"/>
          <w:b/>
          <w:sz w:val="22"/>
          <w:szCs w:val="22"/>
        </w:rPr>
        <w:t xml:space="preserve">, 2018 </w:t>
      </w:r>
      <w:r w:rsidRPr="00E80532">
        <w:rPr>
          <w:rFonts w:ascii="Arial" w:eastAsia="Arial" w:hAnsi="Arial" w:cs="Arial"/>
          <w:sz w:val="22"/>
          <w:szCs w:val="22"/>
        </w:rPr>
        <w:t xml:space="preserve"> </w:t>
      </w:r>
    </w:p>
    <w:p w:rsidR="009516F2" w:rsidRPr="00E80532" w:rsidRDefault="009516F2" w:rsidP="009516F2">
      <w:pPr>
        <w:ind w:right="190"/>
        <w:jc w:val="center"/>
        <w:rPr>
          <w:rFonts w:ascii="Arial" w:hAnsi="Arial" w:cs="Arial"/>
          <w:sz w:val="22"/>
          <w:szCs w:val="22"/>
        </w:rPr>
      </w:pPr>
      <w:r w:rsidRPr="00E80532">
        <w:rPr>
          <w:rFonts w:ascii="Arial" w:eastAsia="Arial" w:hAnsi="Arial" w:cs="Arial"/>
          <w:b/>
          <w:sz w:val="22"/>
          <w:szCs w:val="22"/>
        </w:rPr>
        <w:t xml:space="preserve"> </w:t>
      </w:r>
      <w:r w:rsidRPr="00E80532">
        <w:rPr>
          <w:rFonts w:ascii="Arial" w:hAnsi="Arial" w:cs="Arial"/>
          <w:sz w:val="22"/>
          <w:szCs w:val="22"/>
        </w:rPr>
        <w:t xml:space="preserve"> </w:t>
      </w:r>
    </w:p>
    <w:p w:rsidR="009516F2" w:rsidRPr="009516F2" w:rsidRDefault="009516F2" w:rsidP="009516F2">
      <w:pPr>
        <w:ind w:right="377"/>
        <w:jc w:val="right"/>
        <w:rPr>
          <w:sz w:val="18"/>
          <w:szCs w:val="18"/>
        </w:rPr>
      </w:pPr>
      <w:r w:rsidRPr="009516F2">
        <w:rPr>
          <w:rFonts w:ascii="Arial" w:eastAsia="Arial" w:hAnsi="Arial" w:cs="Arial"/>
          <w:sz w:val="18"/>
          <w:szCs w:val="18"/>
        </w:rPr>
        <w:t xml:space="preserve"> </w:t>
      </w:r>
      <w:r w:rsidR="00E104C9">
        <w:rPr>
          <w:rFonts w:ascii="Arial" w:eastAsia="Arial" w:hAnsi="Arial" w:cs="Arial"/>
          <w:sz w:val="18"/>
          <w:szCs w:val="18"/>
        </w:rPr>
        <w:t xml:space="preserve">       </w:t>
      </w:r>
      <w:r w:rsidRPr="009516F2">
        <w:rPr>
          <w:rFonts w:ascii="Arial" w:eastAsia="Arial" w:hAnsi="Arial" w:cs="Arial"/>
          <w:sz w:val="18"/>
          <w:szCs w:val="18"/>
        </w:rPr>
        <w:t xml:space="preserve">(Amount in Rupees billion, Rate in Per cent) </w:t>
      </w:r>
      <w:r w:rsidRPr="009516F2">
        <w:rPr>
          <w:sz w:val="18"/>
          <w:szCs w:val="18"/>
        </w:rPr>
        <w:t xml:space="preserve"> </w:t>
      </w:r>
    </w:p>
    <w:tbl>
      <w:tblPr>
        <w:tblStyle w:val="TableGrid"/>
        <w:tblpPr w:vertAnchor="text" w:tblpX="-161" w:tblpY="51"/>
        <w:tblOverlap w:val="never"/>
        <w:tblW w:w="9398" w:type="dxa"/>
        <w:tblInd w:w="0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388"/>
        <w:gridCol w:w="3742"/>
        <w:gridCol w:w="2220"/>
        <w:gridCol w:w="1483"/>
        <w:gridCol w:w="1565"/>
      </w:tblGrid>
      <w:tr w:rsidR="009516F2" w:rsidTr="009516F2">
        <w:trPr>
          <w:trHeight w:val="434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E80532" w:rsidRPr="00E8053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@</w:t>
            </w:r>
            <w:r w:rsidR="00E80532" w:rsidRPr="00E805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3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right="1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  <w:r>
              <w:t xml:space="preserve"> </w:t>
            </w:r>
          </w:p>
        </w:tc>
      </w:tr>
      <w:tr w:rsidR="00E1077A" w:rsidTr="00B93DB3">
        <w:trPr>
          <w:trHeight w:val="228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077A" w:rsidTr="00EB042A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7A" w:rsidRDefault="00E1077A" w:rsidP="00E1077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077A" w:rsidTr="00B93DB3">
        <w:trPr>
          <w:trHeight w:val="43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077A" w:rsidTr="00B93DB3">
        <w:trPr>
          <w:trHeight w:val="24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077A" w:rsidTr="00EB042A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7A" w:rsidRDefault="00E1077A" w:rsidP="00E1077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077A" w:rsidTr="00B93DB3">
        <w:trPr>
          <w:trHeight w:val="228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sz w:val="18"/>
                <w:szCs w:val="18"/>
              </w:rPr>
            </w:pPr>
          </w:p>
        </w:tc>
      </w:tr>
      <w:tr w:rsidR="00E1077A" w:rsidTr="00EB042A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7A" w:rsidRDefault="00E1077A" w:rsidP="00E1077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077A" w:rsidTr="00EB042A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7A" w:rsidRDefault="00E1077A" w:rsidP="00E1077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077A" w:rsidTr="00EB042A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7A" w:rsidRDefault="00E1077A" w:rsidP="00E1077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077A" w:rsidTr="00EB042A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7A" w:rsidRDefault="00E1077A" w:rsidP="00E1077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077A" w:rsidTr="00EB042A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7A" w:rsidRDefault="00E1077A" w:rsidP="00E1077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7A" w:rsidRDefault="00E1077A" w:rsidP="00E1077A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077A" w:rsidRPr="00E1077A" w:rsidRDefault="00E1077A" w:rsidP="00E10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7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9516F2" w:rsidRPr="009516F2" w:rsidRDefault="009516F2" w:rsidP="009516F2">
      <w:pPr>
        <w:ind w:left="10"/>
        <w:rPr>
          <w:sz w:val="10"/>
          <w:szCs w:val="22"/>
        </w:rPr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sz w:val="12"/>
        </w:rPr>
        <w:t xml:space="preserve"> </w:t>
      </w:r>
    </w:p>
    <w:tbl>
      <w:tblPr>
        <w:tblStyle w:val="TableGrid"/>
        <w:tblpPr w:vertAnchor="text" w:tblpX="-206" w:tblpY="51"/>
        <w:tblOverlap w:val="never"/>
        <w:tblW w:w="9446" w:type="dxa"/>
        <w:tblInd w:w="0" w:type="dxa"/>
        <w:tblLook w:val="04A0" w:firstRow="1" w:lastRow="0" w:firstColumn="1" w:lastColumn="0" w:noHBand="0" w:noVBand="1"/>
      </w:tblPr>
      <w:tblGrid>
        <w:gridCol w:w="491"/>
        <w:gridCol w:w="3117"/>
        <w:gridCol w:w="1217"/>
        <w:gridCol w:w="768"/>
        <w:gridCol w:w="1217"/>
        <w:gridCol w:w="1462"/>
        <w:gridCol w:w="1174"/>
      </w:tblGrid>
      <w:tr w:rsidR="009516F2" w:rsidTr="0053102F">
        <w:trPr>
          <w:trHeight w:val="638"/>
        </w:trPr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E80532" w:rsidRPr="00E8053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@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345" w:hanging="139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06" w:firstLine="24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0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Current</w:t>
            </w:r>
            <w:r>
              <w:t xml:space="preserve"> </w:t>
            </w:r>
          </w:p>
          <w:p w:rsidR="009516F2" w:rsidRDefault="009516F2">
            <w:pPr>
              <w:ind w:left="144" w:firstLine="70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off Rate</w:t>
            </w:r>
            <w:r>
              <w:t xml:space="preserve"> </w:t>
            </w:r>
          </w:p>
        </w:tc>
      </w:tr>
      <w:tr w:rsidR="009516F2" w:rsidTr="0053102F">
        <w:trPr>
          <w:trHeight w:val="305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Pr="00E80532" w:rsidRDefault="00E80532">
            <w:pPr>
              <w:ind w:left="-5"/>
              <w:rPr>
                <w:b/>
              </w:rPr>
            </w:pPr>
            <w:r w:rsidRPr="00E80532">
              <w:rPr>
                <w:b/>
              </w:rPr>
              <w:t>L</w:t>
            </w:r>
            <w:r w:rsidRPr="00E80532">
              <w:rPr>
                <w:rFonts w:ascii="Arial" w:eastAsia="Arial" w:hAnsi="Arial" w:cs="Arial"/>
                <w:b/>
                <w:sz w:val="18"/>
              </w:rPr>
              <w:t>iquidity Adjustment Facility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16F2" w:rsidRDefault="009516F2">
            <w:pPr>
              <w:ind w:right="-42"/>
              <w:jc w:val="right"/>
            </w:pPr>
            <w:r>
              <w:rPr>
                <w:rFonts w:ascii="Arial" w:eastAsia="Arial" w:hAnsi="Arial" w:cs="Arial"/>
                <w:b/>
                <w:sz w:val="72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-10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6C764C" w:rsidTr="000B4EAF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4C" w:rsidRDefault="006C764C" w:rsidP="006C764C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Default="006C764C" w:rsidP="006C764C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Default="006C764C" w:rsidP="006E06C1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>12/09/2018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Pr="006974AB" w:rsidRDefault="006C764C" w:rsidP="006E06C1">
            <w:pPr>
              <w:ind w:right="104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6974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Default="006C764C" w:rsidP="006E06C1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Pr="0008237A" w:rsidRDefault="006C764C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08237A">
              <w:rPr>
                <w:rFonts w:ascii="Arial" w:hAnsi="Arial" w:cs="Arial"/>
                <w:sz w:val="18"/>
                <w:szCs w:val="18"/>
              </w:rPr>
              <w:t>36.96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Pr="006C764C" w:rsidRDefault="006C764C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6C764C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6C764C" w:rsidTr="000B4EAF">
        <w:trPr>
          <w:trHeight w:val="23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Default="006C764C" w:rsidP="006C764C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Default="006C764C" w:rsidP="006C764C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(ii) Repo (Variable Rate)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E80532" w:rsidRDefault="006C764C" w:rsidP="006E06C1">
            <w:pPr>
              <w:ind w:right="10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0532"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6974AB" w:rsidRDefault="006C764C" w:rsidP="006E06C1">
            <w:pPr>
              <w:ind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A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E06C1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08237A" w:rsidRDefault="006C764C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8237A">
              <w:rPr>
                <w:rFonts w:ascii="Arial" w:hAnsi="Arial" w:cs="Arial"/>
                <w:sz w:val="18"/>
                <w:szCs w:val="18"/>
              </w:rPr>
              <w:t>155.50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6C764C" w:rsidRDefault="006C764C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64C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6C764C" w:rsidTr="000B4EAF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C764C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C764C">
            <w:pPr>
              <w:ind w:left="106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03/09/2018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6974AB" w:rsidRDefault="006C764C" w:rsidP="006E06C1">
            <w:pPr>
              <w:ind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A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08237A" w:rsidRDefault="006C764C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237A">
              <w:rPr>
                <w:rFonts w:ascii="Arial" w:hAnsi="Arial" w:cs="Arial"/>
                <w:sz w:val="18"/>
                <w:szCs w:val="18"/>
              </w:rPr>
              <w:t>40.92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6C764C" w:rsidRDefault="006C764C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64C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6C764C" w:rsidTr="000B4EAF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C764C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C764C">
            <w:pPr>
              <w:ind w:left="106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07/09/2018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6974AB" w:rsidRDefault="006C764C" w:rsidP="006E06C1">
            <w:pPr>
              <w:ind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A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08237A" w:rsidRDefault="006C764C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237A"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6C764C" w:rsidRDefault="006C764C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64C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6C764C" w:rsidTr="000B4EAF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C764C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C764C">
            <w:pPr>
              <w:ind w:left="106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6974AB" w:rsidRDefault="006C764C" w:rsidP="006E06C1">
            <w:pPr>
              <w:ind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A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08237A" w:rsidRDefault="006C764C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237A"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6C764C" w:rsidRDefault="006C764C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64C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6C764C" w:rsidTr="000B4EAF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C764C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C764C">
            <w:pPr>
              <w:ind w:left="106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6974AB" w:rsidRDefault="006C764C" w:rsidP="006E06C1">
            <w:pPr>
              <w:ind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A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Default="006C764C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08237A" w:rsidRDefault="006C764C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237A">
              <w:rPr>
                <w:rFonts w:ascii="Arial" w:hAnsi="Arial" w:cs="Arial"/>
                <w:sz w:val="18"/>
                <w:szCs w:val="18"/>
              </w:rPr>
              <w:t>225.02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C" w:rsidRPr="006C764C" w:rsidRDefault="006C764C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64C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6C764C" w:rsidTr="000B4EAF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Default="006C764C" w:rsidP="006C764C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Default="006C764C" w:rsidP="006C764C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Default="006C764C" w:rsidP="006E06C1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>12/09/2018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Pr="006974AB" w:rsidRDefault="006C764C" w:rsidP="006E06C1">
            <w:pPr>
              <w:ind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Default="006C764C" w:rsidP="006E06C1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Pr="0008237A" w:rsidRDefault="006C764C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237A">
              <w:rPr>
                <w:rFonts w:ascii="Arial" w:hAnsi="Arial" w:cs="Arial"/>
                <w:sz w:val="18"/>
                <w:szCs w:val="18"/>
              </w:rPr>
              <w:t>122.55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4C" w:rsidRPr="006C764C" w:rsidRDefault="006C764C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64C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A918A8" w:rsidTr="000B4EAF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A918A8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A918A8">
            <w:pPr>
              <w:ind w:left="106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6974AB" w:rsidRDefault="00A918A8" w:rsidP="006E06C1">
            <w:pPr>
              <w:ind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08237A" w:rsidRDefault="00A918A8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237A">
              <w:rPr>
                <w:rFonts w:ascii="Arial" w:hAnsi="Arial" w:cs="Arial"/>
                <w:sz w:val="18"/>
                <w:szCs w:val="18"/>
              </w:rPr>
              <w:t>216.12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6C764C" w:rsidRDefault="00A918A8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64C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A918A8" w:rsidTr="000B4EAF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Default="00A918A8" w:rsidP="00A918A8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Default="00A918A8" w:rsidP="00A918A8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03/09/2018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6974AB" w:rsidRDefault="00A918A8" w:rsidP="006E06C1">
            <w:pPr>
              <w:ind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A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08237A" w:rsidRDefault="00A918A8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237A">
              <w:rPr>
                <w:rFonts w:ascii="Arial" w:hAnsi="Arial" w:cs="Arial"/>
                <w:sz w:val="18"/>
                <w:szCs w:val="18"/>
              </w:rPr>
              <w:t>40.75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6C764C" w:rsidRDefault="00A918A8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64C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A918A8" w:rsidTr="000B4EAF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A918A8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A918A8">
            <w:pPr>
              <w:ind w:left="106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07/09/2018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6974AB" w:rsidRDefault="00A918A8" w:rsidP="006E06C1">
            <w:pPr>
              <w:ind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A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08237A" w:rsidRDefault="00A918A8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237A">
              <w:rPr>
                <w:rFonts w:ascii="Arial" w:hAnsi="Arial" w:cs="Arial"/>
                <w:sz w:val="18"/>
                <w:szCs w:val="18"/>
              </w:rPr>
              <w:t>107.85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6C764C" w:rsidRDefault="00A918A8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64C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A918A8" w:rsidTr="000B4EAF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A918A8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A918A8">
            <w:pPr>
              <w:ind w:left="106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6974AB" w:rsidRDefault="00A918A8" w:rsidP="006E06C1">
            <w:pPr>
              <w:ind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08237A" w:rsidRDefault="00A918A8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237A">
              <w:rPr>
                <w:rFonts w:ascii="Arial" w:hAnsi="Arial" w:cs="Arial"/>
                <w:sz w:val="18"/>
                <w:szCs w:val="18"/>
              </w:rPr>
              <w:t>275.09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6C764C" w:rsidRDefault="00A918A8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64C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A918A8" w:rsidTr="000B4EAF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Default="00A918A8" w:rsidP="00A918A8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Default="00A918A8" w:rsidP="00A918A8">
            <w:pPr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Default="00A918A8" w:rsidP="006E06C1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>12/09/2018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Pr="006974AB" w:rsidRDefault="00A918A8" w:rsidP="006E06C1">
            <w:pPr>
              <w:ind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Default="00A918A8" w:rsidP="006E06C1">
            <w:pPr>
              <w:ind w:right="104"/>
              <w:jc w:val="right"/>
            </w:pPr>
            <w:r>
              <w:rPr>
                <w:rFonts w:ascii="Arial" w:eastAsia="Arial" w:hAnsi="Arial" w:cs="Arial"/>
                <w:sz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Pr="0008237A" w:rsidRDefault="00A918A8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237A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Pr="006C764C" w:rsidRDefault="00A918A8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64C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A918A8" w:rsidTr="000B4EAF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A918A8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A918A8">
            <w:pPr>
              <w:ind w:left="106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6974AB" w:rsidRDefault="00A918A8" w:rsidP="006E06C1">
            <w:pPr>
              <w:ind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Default="00A918A8" w:rsidP="006E06C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08237A" w:rsidRDefault="00A918A8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237A"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8" w:rsidRPr="006C764C" w:rsidRDefault="00A918A8" w:rsidP="006E06C1">
            <w:pPr>
              <w:ind w:right="1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764C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A918A8" w:rsidTr="0053102F">
        <w:trPr>
          <w:trHeight w:val="30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Default="00A918A8" w:rsidP="00A918A8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  <w:r>
              <w:t xml:space="preserve"> </w:t>
            </w: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Default="00A918A8" w:rsidP="00A918A8">
            <w:pPr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Default="00A918A8" w:rsidP="00A918A8">
            <w:pPr>
              <w:ind w:left="1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Default="00A918A8" w:rsidP="00A918A8">
            <w:pPr>
              <w:ind w:left="10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Default="000B4EAF" w:rsidP="006E06C1">
            <w:pPr>
              <w:ind w:right="157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A918A8">
              <w:rPr>
                <w:rFonts w:ascii="Arial" w:eastAsia="Arial" w:hAnsi="Arial" w:cs="Arial"/>
                <w:sz w:val="18"/>
              </w:rPr>
              <w:t>16.27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A8" w:rsidRDefault="00A918A8" w:rsidP="00A918A8">
            <w:pPr>
              <w:ind w:left="106"/>
            </w:pPr>
            <w:r>
              <w:rPr>
                <w:sz w:val="18"/>
              </w:rPr>
              <w:t xml:space="preserve"> </w:t>
            </w:r>
          </w:p>
        </w:tc>
      </w:tr>
    </w:tbl>
    <w:p w:rsidR="009516F2" w:rsidRDefault="00E80532" w:rsidP="00E80532">
      <w:pPr>
        <w:pStyle w:val="Heading1"/>
        <w:jc w:val="left"/>
      </w:pPr>
      <w:r>
        <w:t>RESERVE POSITION</w:t>
      </w:r>
      <w:r w:rsidRPr="00E80532">
        <w:rPr>
          <w:rFonts w:cs="Arial"/>
          <w:sz w:val="22"/>
          <w:szCs w:val="22"/>
          <w:vertAlign w:val="superscript"/>
        </w:rPr>
        <w:t>@</w:t>
      </w:r>
      <w:r w:rsidR="009516F2">
        <w:t xml:space="preserve">  </w:t>
      </w:r>
    </w:p>
    <w:p w:rsidR="000A40DA" w:rsidRPr="00CA35E5" w:rsidRDefault="000A40DA" w:rsidP="000A40DA">
      <w:pPr>
        <w:rPr>
          <w:sz w:val="12"/>
          <w:szCs w:val="12"/>
        </w:rPr>
      </w:pPr>
    </w:p>
    <w:tbl>
      <w:tblPr>
        <w:tblStyle w:val="TableGrid"/>
        <w:tblW w:w="9419" w:type="dxa"/>
        <w:tblInd w:w="-206" w:type="dxa"/>
        <w:tblLayout w:type="fixed"/>
        <w:tblCellMar>
          <w:right w:w="8" w:type="dxa"/>
        </w:tblCellMar>
        <w:tblLook w:val="04A0" w:firstRow="1" w:lastRow="0" w:firstColumn="1" w:lastColumn="0" w:noHBand="0" w:noVBand="1"/>
      </w:tblPr>
      <w:tblGrid>
        <w:gridCol w:w="651"/>
        <w:gridCol w:w="6030"/>
        <w:gridCol w:w="1890"/>
        <w:gridCol w:w="848"/>
      </w:tblGrid>
      <w:tr w:rsidR="007E1DBE" w:rsidTr="007E1DBE">
        <w:trPr>
          <w:trHeight w:val="302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1DBE" w:rsidRDefault="007E1DBE" w:rsidP="00517F5D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DBE" w:rsidRDefault="007E1DBE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1DBE" w:rsidRDefault="007E1DBE">
            <w:pPr>
              <w:ind w:left="108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1DBE" w:rsidRDefault="007E1DBE">
            <w:pPr>
              <w:ind w:left="108"/>
            </w:pPr>
            <w:r>
              <w:t xml:space="preserve"> </w:t>
            </w:r>
          </w:p>
        </w:tc>
      </w:tr>
      <w:tr w:rsidR="007E1DBE" w:rsidTr="007E1DBE">
        <w:trPr>
          <w:trHeight w:val="105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1DBE" w:rsidRDefault="007E1DBE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1DBE" w:rsidRDefault="007E1DBE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DBE" w:rsidRDefault="007E1DBE" w:rsidP="007F48FC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>September 0</w:t>
            </w:r>
            <w:r w:rsidR="007F48FC">
              <w:rPr>
                <w:rFonts w:ascii="Arial" w:eastAsia="Arial" w:hAnsi="Arial" w:cs="Arial"/>
                <w:sz w:val="18"/>
              </w:rPr>
              <w:t>7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1DBE" w:rsidRDefault="007E1DBE" w:rsidP="007F48FC">
            <w:pPr>
              <w:ind w:right="57"/>
              <w:jc w:val="right"/>
            </w:pPr>
            <w:r>
              <w:rPr>
                <w:rFonts w:ascii="Arial" w:eastAsia="Arial" w:hAnsi="Arial" w:cs="Arial"/>
                <w:sz w:val="18"/>
              </w:rPr>
              <w:t>4,</w:t>
            </w:r>
            <w:r w:rsidR="007F48FC">
              <w:rPr>
                <w:rFonts w:ascii="Arial" w:eastAsia="Arial" w:hAnsi="Arial" w:cs="Arial"/>
                <w:sz w:val="18"/>
              </w:rPr>
              <w:t>594</w:t>
            </w:r>
            <w:r>
              <w:rPr>
                <w:rFonts w:ascii="Arial" w:eastAsia="Arial" w:hAnsi="Arial" w:cs="Arial"/>
                <w:sz w:val="18"/>
              </w:rPr>
              <w:t>.</w:t>
            </w:r>
            <w:r w:rsidR="007F48FC">
              <w:rPr>
                <w:rFonts w:ascii="Arial" w:eastAsia="Arial" w:hAnsi="Arial" w:cs="Arial"/>
                <w:sz w:val="18"/>
              </w:rPr>
              <w:t>88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516F2" w:rsidTr="00FB313F">
        <w:trPr>
          <w:trHeight w:val="26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139AA" w:rsidP="009139AA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>September 14, 2018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 w:rsidP="009139AA">
            <w:pPr>
              <w:ind w:right="57"/>
              <w:jc w:val="right"/>
            </w:pPr>
            <w:r>
              <w:rPr>
                <w:rFonts w:ascii="Arial" w:eastAsia="Arial" w:hAnsi="Arial" w:cs="Arial"/>
                <w:sz w:val="18"/>
              </w:rPr>
              <w:t>4,7</w:t>
            </w:r>
            <w:r w:rsidR="009139AA">
              <w:rPr>
                <w:rFonts w:ascii="Arial" w:eastAsia="Arial" w:hAnsi="Arial" w:cs="Arial"/>
                <w:sz w:val="18"/>
              </w:rPr>
              <w:t>49</w:t>
            </w:r>
            <w:r>
              <w:rPr>
                <w:rFonts w:ascii="Arial" w:eastAsia="Arial" w:hAnsi="Arial" w:cs="Arial"/>
                <w:sz w:val="18"/>
              </w:rPr>
              <w:t>.</w:t>
            </w:r>
            <w:r w:rsidR="009139AA">
              <w:rPr>
                <w:rFonts w:ascii="Arial" w:eastAsia="Arial" w:hAnsi="Arial" w:cs="Arial"/>
                <w:sz w:val="18"/>
              </w:rPr>
              <w:t>55</w:t>
            </w:r>
            <w:r>
              <w:rPr>
                <w:sz w:val="18"/>
              </w:rPr>
              <w:t xml:space="preserve"> </w:t>
            </w:r>
          </w:p>
        </w:tc>
      </w:tr>
      <w:tr w:rsidR="009516F2" w:rsidTr="00FB313F">
        <w:trPr>
          <w:trHeight w:val="26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 w:rsidP="007E1DBE">
            <w:pPr>
              <w:tabs>
                <w:tab w:val="center" w:pos="927"/>
              </w:tabs>
              <w:ind w:left="-22"/>
            </w:pPr>
            <w:r>
              <w:t xml:space="preserve"> </w:t>
            </w:r>
            <w:r>
              <w:tab/>
            </w:r>
            <w:r w:rsidR="000A40DA">
              <w:rPr>
                <w:rFonts w:ascii="Arial" w:eastAsia="Arial" w:hAnsi="Arial" w:cs="Arial"/>
                <w:sz w:val="18"/>
              </w:rPr>
              <w:t>September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139AA">
              <w:rPr>
                <w:rFonts w:ascii="Arial" w:eastAsia="Arial" w:hAnsi="Arial" w:cs="Arial"/>
                <w:sz w:val="18"/>
              </w:rPr>
              <w:t>1</w:t>
            </w:r>
            <w:r w:rsidR="007E1DBE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>, 2018</w:t>
            </w: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right="6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0.00 </w:t>
            </w:r>
          </w:p>
        </w:tc>
      </w:tr>
    </w:tbl>
    <w:p w:rsidR="00517F5D" w:rsidRDefault="009516F2" w:rsidP="000A40DA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516F2" w:rsidRDefault="009516F2" w:rsidP="000A40DA">
      <w:pPr>
        <w:ind w:left="10"/>
      </w:pPr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9516F2" w:rsidRDefault="009516F2" w:rsidP="000A40DA">
      <w:pPr>
        <w:spacing w:after="4" w:line="247" w:lineRule="auto"/>
        <w:ind w:left="5" w:right="7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9516F2" w:rsidRDefault="009516F2" w:rsidP="000A40DA">
      <w:pPr>
        <w:spacing w:after="4" w:line="247" w:lineRule="auto"/>
        <w:ind w:left="5" w:right="7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9516F2" w:rsidRDefault="009516F2" w:rsidP="000A40DA">
      <w:pPr>
        <w:spacing w:after="4" w:line="247" w:lineRule="auto"/>
        <w:ind w:left="5" w:right="7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0A40DA" w:rsidRDefault="009516F2" w:rsidP="000A40DA">
      <w:pPr>
        <w:spacing w:after="4" w:line="247" w:lineRule="auto"/>
        <w:ind w:left="5" w:right="1175" w:hanging="10"/>
        <w:rPr>
          <w:sz w:val="18"/>
        </w:rPr>
      </w:pPr>
      <w:r>
        <w:rPr>
          <w:rFonts w:ascii="Arial" w:eastAsia="Arial" w:hAnsi="Arial" w:cs="Arial"/>
          <w:sz w:val="18"/>
        </w:rPr>
        <w:t xml:space="preserve"># </w:t>
      </w:r>
      <w:proofErr w:type="gramStart"/>
      <w:r>
        <w:rPr>
          <w:rFonts w:ascii="Arial" w:eastAsia="Arial" w:hAnsi="Arial" w:cs="Arial"/>
          <w:sz w:val="18"/>
        </w:rPr>
        <w:t>The</w:t>
      </w:r>
      <w:proofErr w:type="gramEnd"/>
      <w:r>
        <w:rPr>
          <w:rFonts w:ascii="Arial" w:eastAsia="Arial" w:hAnsi="Arial" w:cs="Arial"/>
          <w:sz w:val="18"/>
        </w:rPr>
        <w:t xml:space="preserve"> figure for the cash balances with RBI on Sunday is same as that of the previous </w:t>
      </w:r>
      <w:r w:rsidR="000A40DA">
        <w:rPr>
          <w:rFonts w:ascii="Arial" w:eastAsia="Arial" w:hAnsi="Arial" w:cs="Arial"/>
          <w:sz w:val="18"/>
        </w:rPr>
        <w:t>Saturda</w:t>
      </w:r>
      <w:r>
        <w:rPr>
          <w:rFonts w:ascii="Arial" w:eastAsia="Arial" w:hAnsi="Arial" w:cs="Arial"/>
          <w:sz w:val="18"/>
        </w:rPr>
        <w:t xml:space="preserve">y). </w:t>
      </w:r>
      <w:r>
        <w:rPr>
          <w:sz w:val="18"/>
        </w:rPr>
        <w:t xml:space="preserve"> </w:t>
      </w:r>
    </w:p>
    <w:p w:rsidR="009516F2" w:rsidRDefault="009516F2" w:rsidP="000A40DA">
      <w:pPr>
        <w:spacing w:after="4" w:line="247" w:lineRule="auto"/>
        <w:ind w:left="5" w:right="1175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9516F2" w:rsidRDefault="009516F2" w:rsidP="000A40DA">
      <w:pPr>
        <w:spacing w:after="144" w:line="247" w:lineRule="auto"/>
        <w:ind w:left="5" w:right="78" w:hanging="10"/>
      </w:pPr>
      <w:proofErr w:type="gramStart"/>
      <w:r>
        <w:rPr>
          <w:rFonts w:ascii="Arial" w:eastAsia="Arial" w:hAnsi="Arial" w:cs="Arial"/>
          <w:sz w:val="18"/>
        </w:rPr>
        <w:t>¥  As</w:t>
      </w:r>
      <w:proofErr w:type="gramEnd"/>
      <w:r>
        <w:rPr>
          <w:rFonts w:ascii="Arial" w:eastAsia="Arial" w:hAnsi="Arial" w:cs="Arial"/>
          <w:sz w:val="18"/>
        </w:rPr>
        <w:t xml:space="preserve"> per the Press Release No. 2014-2015/1971 dated March 19, 2015   </w:t>
      </w:r>
    </w:p>
    <w:p w:rsidR="000F3AD6" w:rsidRDefault="000F3AD6" w:rsidP="000F3AD6">
      <w:pPr>
        <w:ind w:left="5040" w:right="1" w:firstLine="720"/>
        <w:jc w:val="center"/>
        <w:rPr>
          <w:rFonts w:ascii="Arial" w:hAnsi="Arial" w:cs="Arial"/>
          <w:b/>
          <w:color w:val="000000"/>
        </w:rPr>
      </w:pPr>
    </w:p>
    <w:p w:rsidR="00F40068" w:rsidRPr="000D1FED" w:rsidRDefault="00F40068" w:rsidP="00F40068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</w:t>
      </w:r>
      <w:r w:rsidR="00E80532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 </w:t>
      </w:r>
      <w:r w:rsidR="005F2B79">
        <w:rPr>
          <w:rFonts w:ascii="Arial" w:hAnsi="Arial" w:cs="Arial"/>
          <w:b/>
          <w:color w:val="000000"/>
        </w:rPr>
        <w:t xml:space="preserve">  </w:t>
      </w:r>
      <w:proofErr w:type="spellStart"/>
      <w:r>
        <w:rPr>
          <w:rFonts w:ascii="Arial" w:hAnsi="Arial" w:cs="Arial"/>
          <w:b/>
          <w:color w:val="000000"/>
        </w:rPr>
        <w:t>Ajit</w:t>
      </w:r>
      <w:proofErr w:type="spellEnd"/>
      <w:r>
        <w:rPr>
          <w:rFonts w:ascii="Arial" w:hAnsi="Arial" w:cs="Arial"/>
          <w:b/>
          <w:color w:val="000000"/>
        </w:rPr>
        <w:t xml:space="preserve"> Prasad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</w:p>
    <w:p w:rsidR="009D1517" w:rsidRPr="00CD4E26" w:rsidRDefault="00F40068" w:rsidP="00C92AC7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  <w:lang w:val="en-IN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D01E11">
        <w:rPr>
          <w:rFonts w:ascii="Arial" w:hAnsi="Arial" w:cs="Arial"/>
          <w:b/>
          <w:color w:val="000000"/>
        </w:rPr>
        <w:t>61</w:t>
      </w:r>
      <w:r w:rsidR="003E1F39">
        <w:rPr>
          <w:rFonts w:ascii="Arial" w:hAnsi="Arial" w:cs="Arial"/>
          <w:b/>
          <w:color w:val="000000"/>
        </w:rPr>
        <w:t>7</w:t>
      </w:r>
      <w:r w:rsidRPr="000D1FED">
        <w:rPr>
          <w:rFonts w:ascii="Arial" w:hAnsi="Arial" w:cs="Arial"/>
          <w:b/>
          <w:color w:val="000000"/>
        </w:rPr>
        <w:t xml:space="preserve">        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9D1517" w:rsidRPr="00CD4E26" w:rsidSect="005F2B79">
      <w:pgSz w:w="11909" w:h="16834" w:code="9"/>
      <w:pgMar w:top="9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5CE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37A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0DA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EAF"/>
    <w:rsid w:val="000B4F6B"/>
    <w:rsid w:val="000B5D9D"/>
    <w:rsid w:val="000B6694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B3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AD6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B2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89A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2C7A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1B7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67D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0D12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5B72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2CF1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CB3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517"/>
    <w:rsid w:val="003E091A"/>
    <w:rsid w:val="003E0BB7"/>
    <w:rsid w:val="003E1143"/>
    <w:rsid w:val="003E1478"/>
    <w:rsid w:val="003E1F39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3DA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563C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333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608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3F19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97EE6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A44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17F5D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551"/>
    <w:rsid w:val="00530AA0"/>
    <w:rsid w:val="00530B5A"/>
    <w:rsid w:val="00530C61"/>
    <w:rsid w:val="0053102F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98F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56DA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B7C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97BD5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97C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CA9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91E"/>
    <w:rsid w:val="005E4C77"/>
    <w:rsid w:val="005E504E"/>
    <w:rsid w:val="005E5390"/>
    <w:rsid w:val="005E54D8"/>
    <w:rsid w:val="005E59B4"/>
    <w:rsid w:val="005E5AB7"/>
    <w:rsid w:val="005E5E08"/>
    <w:rsid w:val="005E6215"/>
    <w:rsid w:val="005E6C3C"/>
    <w:rsid w:val="005E6D83"/>
    <w:rsid w:val="005E71D7"/>
    <w:rsid w:val="005E788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B79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75E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AF8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974AB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94"/>
    <w:rsid w:val="006C68EF"/>
    <w:rsid w:val="006C69A9"/>
    <w:rsid w:val="006C6C2D"/>
    <w:rsid w:val="006C6E2D"/>
    <w:rsid w:val="006C6FBE"/>
    <w:rsid w:val="006C7556"/>
    <w:rsid w:val="006C764C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6C1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0ABA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AC9"/>
    <w:rsid w:val="00767B0C"/>
    <w:rsid w:val="00767EEB"/>
    <w:rsid w:val="00770402"/>
    <w:rsid w:val="00770B05"/>
    <w:rsid w:val="00772241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194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6D20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DBE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48FC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120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0F0C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69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8A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9AA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1B23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A7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809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1CB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B3B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05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1DB7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63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A8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7C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ABB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1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24D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6E1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2E0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DB3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48C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63F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73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9B2"/>
    <w:rsid w:val="00C416AC"/>
    <w:rsid w:val="00C420DA"/>
    <w:rsid w:val="00C4306F"/>
    <w:rsid w:val="00C43070"/>
    <w:rsid w:val="00C447A4"/>
    <w:rsid w:val="00C44B4D"/>
    <w:rsid w:val="00C44D18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2AC7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BA0"/>
    <w:rsid w:val="00CA2270"/>
    <w:rsid w:val="00CA277F"/>
    <w:rsid w:val="00CA2ED5"/>
    <w:rsid w:val="00CA3398"/>
    <w:rsid w:val="00CA34F8"/>
    <w:rsid w:val="00CA35E5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954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1E2A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3E85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1E11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0F5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6D0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4C9"/>
    <w:rsid w:val="00E10531"/>
    <w:rsid w:val="00E1077A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6C0"/>
    <w:rsid w:val="00E777B9"/>
    <w:rsid w:val="00E802D3"/>
    <w:rsid w:val="00E80532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890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DB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AC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102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068"/>
    <w:rsid w:val="00F408C9"/>
    <w:rsid w:val="00F4130B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603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13F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825"/>
    <w:rsid w:val="00FC68E1"/>
    <w:rsid w:val="00FC6D74"/>
    <w:rsid w:val="00FC715D"/>
    <w:rsid w:val="00FC716D"/>
    <w:rsid w:val="00FC75F6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AA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7256-3C70-483D-8B02-8E1990DC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3095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6</cp:revision>
  <cp:lastPrinted>2018-09-14T06:16:00Z</cp:lastPrinted>
  <dcterms:created xsi:type="dcterms:W3CDTF">2018-09-14T06:20:00Z</dcterms:created>
  <dcterms:modified xsi:type="dcterms:W3CDTF">2018-09-14T06:33:00Z</dcterms:modified>
</cp:coreProperties>
</file>