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0" w:type="dxa"/>
        <w:tblInd w:w="-72" w:type="dxa"/>
        <w:tblLook w:val="01E0" w:firstRow="1" w:lastRow="1" w:firstColumn="1" w:lastColumn="1" w:noHBand="0" w:noVBand="0"/>
      </w:tblPr>
      <w:tblGrid>
        <w:gridCol w:w="6120"/>
        <w:gridCol w:w="3150"/>
      </w:tblGrid>
      <w:tr w:rsidR="00C021BA" w:rsidRPr="00AD55C1" w:rsidTr="00741D32">
        <w:tc>
          <w:tcPr>
            <w:tcW w:w="6120" w:type="dxa"/>
          </w:tcPr>
          <w:p w:rsidR="00C021BA" w:rsidRPr="0071683E" w:rsidRDefault="00C021BA" w:rsidP="00741D32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Mangal"/>
                <w:szCs w:val="21"/>
                <w:lang w:bidi="hi-IN"/>
              </w:rPr>
            </w:pPr>
          </w:p>
        </w:tc>
        <w:tc>
          <w:tcPr>
            <w:tcW w:w="3150" w:type="dxa"/>
            <w:shd w:val="clear" w:color="auto" w:fill="000000"/>
          </w:tcPr>
          <w:p w:rsidR="00C021BA" w:rsidRPr="00763CD4" w:rsidRDefault="00C021BA" w:rsidP="00741D32">
            <w:pPr>
              <w:pStyle w:val="Header"/>
              <w:tabs>
                <w:tab w:val="clear" w:pos="4320"/>
                <w:tab w:val="clear" w:pos="8640"/>
                <w:tab w:val="left" w:pos="1752"/>
              </w:tabs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B54D2">
              <w:rPr>
                <w:rFonts w:ascii="Arial Unicode MS" w:eastAsia="Arial Unicode MS" w:hAnsi="Arial Unicode MS" w:cs="Arial Unicode MS"/>
                <w:bCs/>
                <w:color w:val="FFFFFF"/>
                <w:sz w:val="20"/>
                <w:szCs w:val="20"/>
                <w:highlight w:val="black"/>
                <w:cs/>
                <w:lang w:bidi="hi-IN"/>
              </w:rPr>
              <w:t>प्रेस</w:t>
            </w:r>
            <w:r w:rsidRPr="003B54D2">
              <w:rPr>
                <w:rFonts w:ascii="Arial Unicode MS" w:eastAsia="Arial Unicode MS" w:hAnsi="Arial Unicode MS" w:cs="Arial Unicode MS"/>
                <w:bCs/>
                <w:color w:val="FFFFFF"/>
                <w:sz w:val="20"/>
                <w:szCs w:val="20"/>
                <w:highlight w:val="black"/>
              </w:rPr>
              <w:t xml:space="preserve"> </w:t>
            </w:r>
            <w:r w:rsidRPr="003B54D2">
              <w:rPr>
                <w:rFonts w:ascii="Arial Unicode MS" w:eastAsia="Arial Unicode MS" w:hAnsi="Arial Unicode MS" w:cs="Arial Unicode MS"/>
                <w:bCs/>
                <w:color w:val="FFFFFF"/>
                <w:sz w:val="20"/>
                <w:szCs w:val="20"/>
                <w:highlight w:val="black"/>
                <w:cs/>
                <w:lang w:bidi="hi-IN"/>
              </w:rPr>
              <w:t>प्रकाशनी</w:t>
            </w:r>
            <w:r w:rsidRPr="00763CD4">
              <w:rPr>
                <w:rFonts w:ascii="Calibri" w:hAnsi="Calibri" w:cs="Mangal"/>
                <w:b/>
                <w:color w:val="FFFFFF"/>
                <w:sz w:val="20"/>
                <w:szCs w:val="20"/>
                <w:highlight w:val="black"/>
              </w:rPr>
              <w:t xml:space="preserve">  </w:t>
            </w:r>
            <w:r w:rsidRPr="00763CD4">
              <w:rPr>
                <w:rFonts w:ascii="Arial" w:hAnsi="Arial" w:cs="Arial"/>
                <w:b/>
                <w:color w:val="FFFFFF"/>
                <w:sz w:val="20"/>
                <w:szCs w:val="20"/>
                <w:highlight w:val="black"/>
              </w:rPr>
              <w:t>PRESS RELEASE</w:t>
            </w:r>
          </w:p>
        </w:tc>
      </w:tr>
      <w:tr w:rsidR="00C021BA" w:rsidRPr="00AD55C1" w:rsidTr="00741D32">
        <w:tc>
          <w:tcPr>
            <w:tcW w:w="6120" w:type="dxa"/>
            <w:vAlign w:val="bottom"/>
          </w:tcPr>
          <w:p w:rsidR="00C021BA" w:rsidRPr="000A503D" w:rsidRDefault="00C021BA" w:rsidP="00741D32">
            <w:pPr>
              <w:jc w:val="right"/>
              <w:rPr>
                <w:rFonts w:ascii="Calibri" w:hAnsi="Calibri" w:cs="Mangal"/>
                <w:bCs/>
                <w:sz w:val="10"/>
                <w:szCs w:val="10"/>
              </w:rPr>
            </w:pPr>
            <w:r w:rsidRPr="000A503D">
              <w:rPr>
                <w:rFonts w:ascii="Arial Unicode MS" w:eastAsia="Arial Unicode MS" w:hAnsi="Arial Unicode MS" w:cs="Arial Unicode MS"/>
                <w:bCs/>
                <w:sz w:val="16"/>
                <w:szCs w:val="16"/>
                <w:cs/>
                <w:lang w:bidi="hi-IN"/>
              </w:rPr>
              <w:t>संचार</w:t>
            </w:r>
            <w:r w:rsidRPr="000A503D">
              <w:rPr>
                <w:rFonts w:ascii="Arial Unicode MS" w:eastAsia="Arial Unicode MS" w:hAnsi="Arial Unicode MS" w:cs="Arial Unicode MS"/>
                <w:bCs/>
                <w:sz w:val="16"/>
                <w:szCs w:val="16"/>
              </w:rPr>
              <w:t xml:space="preserve"> </w:t>
            </w:r>
            <w:r w:rsidRPr="000A503D">
              <w:rPr>
                <w:rFonts w:ascii="Arial Unicode MS" w:eastAsia="Arial Unicode MS" w:hAnsi="Arial Unicode MS" w:cs="Arial Unicode MS"/>
                <w:bCs/>
                <w:sz w:val="16"/>
                <w:szCs w:val="16"/>
                <w:cs/>
                <w:lang w:bidi="hi-IN"/>
              </w:rPr>
              <w:t>विभाग</w:t>
            </w:r>
            <w:r w:rsidRPr="000A503D">
              <w:rPr>
                <w:rFonts w:ascii="Arial Unicode MS" w:eastAsia="Arial Unicode MS" w:hAnsi="Arial Unicode MS" w:cs="Arial Unicode MS"/>
                <w:bCs/>
                <w:color w:val="000000"/>
                <w:sz w:val="16"/>
                <w:szCs w:val="16"/>
              </w:rPr>
              <w:t xml:space="preserve">, </w:t>
            </w:r>
            <w:r w:rsidRPr="00DC2723">
              <w:rPr>
                <w:rFonts w:ascii="Arial Unicode MS" w:eastAsia="Arial Unicode MS" w:hAnsi="Arial Unicode MS" w:cs="Arial Unicode MS"/>
                <w:b/>
                <w:sz w:val="16"/>
                <w:szCs w:val="16"/>
                <w:cs/>
                <w:lang w:bidi="hi-IN"/>
              </w:rPr>
              <w:t>केंद्रीय</w:t>
            </w:r>
            <w:r w:rsidRPr="00DC272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</w:t>
            </w:r>
            <w:r w:rsidRPr="00DC2723">
              <w:rPr>
                <w:rFonts w:ascii="Arial Unicode MS" w:eastAsia="Arial Unicode MS" w:hAnsi="Arial Unicode MS" w:cs="Arial Unicode MS"/>
                <w:b/>
                <w:sz w:val="16"/>
                <w:szCs w:val="16"/>
                <w:cs/>
                <w:lang w:bidi="hi-IN"/>
              </w:rPr>
              <w:t>कार्यालय</w:t>
            </w:r>
            <w:r w:rsidRPr="00DC272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, </w:t>
            </w:r>
            <w:r w:rsidRPr="00DC2723">
              <w:rPr>
                <w:rFonts w:ascii="Arial Unicode MS" w:eastAsia="Arial Unicode MS" w:hAnsi="Arial Unicode MS" w:cs="Arial Unicode MS"/>
                <w:b/>
                <w:sz w:val="16"/>
                <w:szCs w:val="16"/>
                <w:cs/>
                <w:lang w:bidi="hi-IN"/>
              </w:rPr>
              <w:t>एस</w:t>
            </w:r>
            <w:r w:rsidRPr="00DC272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.</w:t>
            </w:r>
            <w:r w:rsidRPr="00DC2723">
              <w:rPr>
                <w:rFonts w:ascii="Arial Unicode MS" w:eastAsia="Arial Unicode MS" w:hAnsi="Arial Unicode MS" w:cs="Arial Unicode MS"/>
                <w:b/>
                <w:sz w:val="16"/>
                <w:szCs w:val="16"/>
                <w:cs/>
                <w:lang w:bidi="hi-IN"/>
              </w:rPr>
              <w:t>बी</w:t>
            </w:r>
            <w:r w:rsidRPr="00DC272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.</w:t>
            </w:r>
            <w:r w:rsidRPr="00DC2723">
              <w:rPr>
                <w:rFonts w:ascii="Arial Unicode MS" w:eastAsia="Arial Unicode MS" w:hAnsi="Arial Unicode MS" w:cs="Arial Unicode MS"/>
                <w:b/>
                <w:sz w:val="16"/>
                <w:szCs w:val="16"/>
                <w:cs/>
                <w:lang w:bidi="hi-IN"/>
              </w:rPr>
              <w:t>एस</w:t>
            </w:r>
            <w:r w:rsidRPr="00DC272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.</w:t>
            </w:r>
            <w:r w:rsidRPr="00DC2723">
              <w:rPr>
                <w:rFonts w:ascii="Arial Unicode MS" w:eastAsia="Arial Unicode MS" w:hAnsi="Arial Unicode MS" w:cs="Arial Unicode MS"/>
                <w:b/>
                <w:sz w:val="16"/>
                <w:szCs w:val="16"/>
                <w:cs/>
                <w:lang w:bidi="hi-IN"/>
              </w:rPr>
              <w:t>मार्ग</w:t>
            </w:r>
            <w:r w:rsidRPr="00DC272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, </w:t>
            </w:r>
            <w:r w:rsidRPr="00DC2723">
              <w:rPr>
                <w:rFonts w:ascii="Arial Unicode MS" w:eastAsia="Arial Unicode MS" w:hAnsi="Arial Unicode MS" w:cs="Arial Unicode MS"/>
                <w:b/>
                <w:sz w:val="16"/>
                <w:szCs w:val="16"/>
                <w:cs/>
                <w:lang w:bidi="hi-IN"/>
              </w:rPr>
              <w:t>मुंबई</w:t>
            </w:r>
            <w:r w:rsidRPr="00DC2723">
              <w:rPr>
                <w:rFonts w:ascii="Calibri" w:hAnsi="Calibri" w:cs="Mangal"/>
                <w:b/>
                <w:sz w:val="22"/>
                <w:szCs w:val="22"/>
              </w:rPr>
              <w:t>-</w:t>
            </w:r>
            <w:r w:rsidRPr="00DC2723">
              <w:rPr>
                <w:rFonts w:ascii="Arial" w:hAnsi="Arial" w:cs="Arial"/>
                <w:bCs/>
                <w:sz w:val="16"/>
                <w:szCs w:val="16"/>
                <w:lang w:val="fr-FR"/>
              </w:rPr>
              <w:t>400001</w:t>
            </w:r>
          </w:p>
          <w:p w:rsidR="00C021BA" w:rsidRPr="00AD55C1" w:rsidRDefault="00C021BA" w:rsidP="00741D32">
            <w:pPr>
              <w:ind w:right="-108"/>
              <w:jc w:val="right"/>
              <w:rPr>
                <w:rFonts w:ascii="Calibri" w:hAnsi="Calibri" w:cs="Mangal"/>
                <w:sz w:val="10"/>
                <w:szCs w:val="10"/>
              </w:rPr>
            </w:pPr>
            <w:r>
              <w:rPr>
                <w:rFonts w:ascii="Calibri" w:hAnsi="Calibri" w:cs="Mangal"/>
                <w:sz w:val="10"/>
                <w:szCs w:val="10"/>
              </w:rPr>
              <w:t>_____________</w:t>
            </w:r>
            <w:r w:rsidRPr="00AD55C1">
              <w:rPr>
                <w:rFonts w:ascii="Calibri" w:hAnsi="Calibri" w:cs="Mangal"/>
                <w:sz w:val="10"/>
                <w:szCs w:val="10"/>
              </w:rPr>
              <w:t>________________________________________________________________________________________________________</w:t>
            </w:r>
          </w:p>
          <w:p w:rsidR="00C021BA" w:rsidRPr="000A503D" w:rsidRDefault="00C021BA" w:rsidP="00741D32">
            <w:pPr>
              <w:jc w:val="right"/>
              <w:rPr>
                <w:rFonts w:ascii="Calibri" w:hAnsi="Calibri" w:cs="Mangal"/>
                <w:b/>
                <w:color w:val="000000"/>
                <w:sz w:val="16"/>
              </w:rPr>
            </w:pPr>
            <w:r w:rsidRPr="000A503D">
              <w:rPr>
                <w:rFonts w:ascii="Arial" w:hAnsi="Arial" w:cs="Arial"/>
                <w:b/>
                <w:sz w:val="14"/>
                <w:szCs w:val="14"/>
              </w:rPr>
              <w:t>Department of Communication</w:t>
            </w:r>
            <w:r w:rsidRPr="000A503D">
              <w:rPr>
                <w:rFonts w:ascii="Arial" w:hAnsi="Arial" w:cs="Arial"/>
                <w:b/>
                <w:color w:val="000000"/>
                <w:sz w:val="14"/>
              </w:rPr>
              <w:t>,</w:t>
            </w:r>
            <w:r w:rsidRPr="000A503D"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  <w:r w:rsidRPr="00DC2723">
              <w:rPr>
                <w:rFonts w:ascii="Arial" w:hAnsi="Arial" w:cs="Arial"/>
                <w:bCs/>
                <w:sz w:val="14"/>
                <w:szCs w:val="14"/>
                <w:lang w:val="fr-FR"/>
              </w:rPr>
              <w:t>Central Office, S.B.S.Marg, Mumbai</w:t>
            </w:r>
            <w:r w:rsidRPr="00DC2723">
              <w:rPr>
                <w:rFonts w:ascii="Calibri" w:hAnsi="Calibri" w:cs="Mangal"/>
                <w:bCs/>
                <w:sz w:val="14"/>
                <w:szCs w:val="14"/>
                <w:lang w:val="fr-FR"/>
              </w:rPr>
              <w:t>-</w:t>
            </w:r>
            <w:r w:rsidRPr="00DC2723">
              <w:rPr>
                <w:rFonts w:ascii="Arial" w:hAnsi="Arial" w:cs="Arial"/>
                <w:bCs/>
                <w:sz w:val="14"/>
                <w:szCs w:val="14"/>
                <w:lang w:val="fr-FR"/>
              </w:rPr>
              <w:t>400001</w:t>
            </w:r>
          </w:p>
          <w:p w:rsidR="00C021BA" w:rsidRPr="00DC2723" w:rsidRDefault="00C021BA" w:rsidP="00741D32">
            <w:pPr>
              <w:jc w:val="right"/>
              <w:rPr>
                <w:rFonts w:ascii="Calibri" w:hAnsi="Calibri" w:cs="Mangal"/>
                <w:sz w:val="15"/>
                <w:szCs w:val="15"/>
                <w:lang w:val="fr-FR"/>
              </w:rPr>
            </w:pPr>
            <w:r w:rsidRPr="00DC2723">
              <w:rPr>
                <w:rFonts w:ascii="Arial Unicode MS" w:eastAsia="Arial Unicode MS" w:hAnsi="Arial Unicode MS" w:cs="Arial Unicode MS"/>
                <w:sz w:val="16"/>
                <w:szCs w:val="16"/>
                <w:cs/>
                <w:lang w:val="fr-FR" w:bidi="hi-IN"/>
              </w:rPr>
              <w:t>फोन</w:t>
            </w:r>
            <w:r w:rsidRPr="00DC2723">
              <w:rPr>
                <w:rFonts w:ascii="Calibri" w:hAnsi="Calibri" w:cs="Mangal"/>
                <w:sz w:val="16"/>
                <w:szCs w:val="16"/>
                <w:lang w:val="fr-FR"/>
              </w:rPr>
              <w:t>/</w:t>
            </w:r>
            <w:r w:rsidRPr="00DC2723">
              <w:rPr>
                <w:rFonts w:ascii="Arial" w:hAnsi="Arial" w:cs="Arial"/>
                <w:color w:val="000000"/>
                <w:sz w:val="16"/>
                <w:szCs w:val="16"/>
              </w:rPr>
              <w:t>Phone</w:t>
            </w:r>
            <w:r w:rsidRPr="00DC2723">
              <w:rPr>
                <w:rFonts w:ascii="Calibri" w:hAnsi="Calibri" w:cs="Mangal"/>
                <w:color w:val="000000"/>
                <w:sz w:val="18"/>
                <w:szCs w:val="28"/>
              </w:rPr>
              <w:t xml:space="preserve">: </w:t>
            </w:r>
            <w:r w:rsidRPr="00DC2723">
              <w:rPr>
                <w:rFonts w:ascii="Arial" w:hAnsi="Arial" w:cs="Arial"/>
                <w:sz w:val="16"/>
                <w:szCs w:val="16"/>
                <w:lang w:val="fr-FR"/>
              </w:rPr>
              <w:t>022- 22660502</w:t>
            </w:r>
            <w:r w:rsidRPr="00DC2723">
              <w:rPr>
                <w:rFonts w:ascii="Calibri" w:hAnsi="Calibri" w:cs="Mangal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3150" w:type="dxa"/>
          </w:tcPr>
          <w:p w:rsidR="00C021BA" w:rsidRPr="00AD55C1" w:rsidRDefault="009A0C07" w:rsidP="00741D32">
            <w:pPr>
              <w:jc w:val="center"/>
              <w:rPr>
                <w:rFonts w:ascii="Calibri" w:hAnsi="Calibri" w:cs="Mangal"/>
                <w:b/>
                <w:color w:val="000000"/>
                <w:w w:val="150"/>
                <w:sz w:val="16"/>
              </w:rPr>
            </w:pPr>
            <w:r>
              <w:rPr>
                <w:rFonts w:ascii="Calibri" w:hAnsi="Calibri" w:cs="Mangal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299" distR="114299" simplePos="0" relativeHeight="251658240" behindDoc="0" locked="0" layoutInCell="1" allowOverlap="1">
                      <wp:simplePos x="0" y="0"/>
                      <wp:positionH relativeFrom="column">
                        <wp:posOffset>-68581</wp:posOffset>
                      </wp:positionH>
                      <wp:positionV relativeFrom="paragraph">
                        <wp:posOffset>21590</wp:posOffset>
                      </wp:positionV>
                      <wp:extent cx="0" cy="1122680"/>
                      <wp:effectExtent l="0" t="0" r="19050" b="127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11226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0F0EFC7" id="Line 2" o:spid="_x0000_s1026" style="position:absolute;flip:x y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4pt,1.7pt" to="-5.4pt,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"/>
                  </w:pict>
                </mc:Fallback>
              </mc:AlternateContent>
            </w:r>
            <w:r w:rsidR="00C021BA">
              <w:rPr>
                <w:rFonts w:ascii="Calibri" w:hAnsi="Calibri" w:cs="Mangal"/>
                <w:b/>
                <w:noProof/>
                <w:color w:val="000000"/>
                <w:w w:val="150"/>
                <w:sz w:val="16"/>
                <w:lang w:val="en-IN" w:eastAsia="en-IN"/>
              </w:rPr>
              <w:drawing>
                <wp:inline distT="0" distB="0" distL="0" distR="0">
                  <wp:extent cx="670560" cy="579120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579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21BA" w:rsidRPr="000F3F6E" w:rsidRDefault="00C021BA" w:rsidP="00741D32">
            <w:pPr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w w:val="150"/>
                <w:sz w:val="20"/>
                <w:szCs w:val="20"/>
                <w:lang w:bidi="hi-IN"/>
              </w:rPr>
            </w:pPr>
            <w:r w:rsidRPr="000F3F6E">
              <w:rPr>
                <w:rFonts w:ascii="Arial Unicode MS" w:eastAsia="Arial Unicode MS" w:hAnsi="Arial Unicode MS" w:cs="Arial Unicode MS"/>
                <w:bCs/>
                <w:sz w:val="20"/>
                <w:szCs w:val="20"/>
                <w:cs/>
                <w:lang w:bidi="hi-IN"/>
              </w:rPr>
              <w:t>भारतीय</w:t>
            </w:r>
            <w:r w:rsidRPr="000F3F6E">
              <w:rPr>
                <w:rFonts w:ascii="Arial Unicode MS" w:eastAsia="Arial Unicode MS" w:hAnsi="Arial Unicode MS" w:cs="Arial Unicode MS"/>
                <w:bCs/>
                <w:sz w:val="20"/>
                <w:szCs w:val="20"/>
                <w:lang w:bidi="hi-IN"/>
              </w:rPr>
              <w:t xml:space="preserve"> </w:t>
            </w:r>
            <w:r w:rsidRPr="000F3F6E">
              <w:rPr>
                <w:rFonts w:ascii="Arial Unicode MS" w:eastAsia="Arial Unicode MS" w:hAnsi="Arial Unicode MS" w:cs="Arial Unicode MS"/>
                <w:bCs/>
                <w:sz w:val="20"/>
                <w:szCs w:val="20"/>
                <w:cs/>
                <w:lang w:bidi="hi-IN"/>
              </w:rPr>
              <w:t>रिज़र्व</w:t>
            </w:r>
            <w:r w:rsidRPr="000F3F6E">
              <w:rPr>
                <w:rFonts w:ascii="Arial Unicode MS" w:eastAsia="Arial Unicode MS" w:hAnsi="Arial Unicode MS" w:cs="Arial Unicode MS"/>
                <w:bCs/>
                <w:sz w:val="20"/>
                <w:szCs w:val="20"/>
                <w:lang w:bidi="hi-IN"/>
              </w:rPr>
              <w:t xml:space="preserve"> </w:t>
            </w:r>
            <w:r w:rsidRPr="000F3F6E">
              <w:rPr>
                <w:rFonts w:ascii="Arial Unicode MS" w:eastAsia="Arial Unicode MS" w:hAnsi="Arial Unicode MS" w:cs="Arial Unicode MS" w:hint="cs"/>
                <w:bCs/>
                <w:sz w:val="20"/>
                <w:szCs w:val="20"/>
                <w:cs/>
                <w:lang w:bidi="hi-IN"/>
              </w:rPr>
              <w:t>बैंक</w:t>
            </w:r>
          </w:p>
          <w:p w:rsidR="00C021BA" w:rsidRPr="00763CD4" w:rsidRDefault="00C021BA" w:rsidP="00741D32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763CD4">
              <w:rPr>
                <w:rFonts w:ascii="Arial" w:hAnsi="Arial" w:cs="Arial"/>
                <w:b/>
                <w:color w:val="000000"/>
                <w:w w:val="150"/>
                <w:sz w:val="15"/>
                <w:szCs w:val="15"/>
              </w:rPr>
              <w:t>RESERVE BANK OF INDIA</w:t>
            </w:r>
            <w:r w:rsidRPr="00763CD4">
              <w:rPr>
                <w:rFonts w:ascii="Arial" w:hAnsi="Arial" w:cs="Arial"/>
                <w:b/>
                <w:color w:val="000000"/>
                <w:sz w:val="15"/>
                <w:szCs w:val="15"/>
              </w:rPr>
              <w:t xml:space="preserve"> </w:t>
            </w:r>
          </w:p>
          <w:p w:rsidR="00C021BA" w:rsidRPr="00763CD4" w:rsidRDefault="00C021BA" w:rsidP="00741D32">
            <w:pPr>
              <w:pStyle w:val="Heading1"/>
              <w:rPr>
                <w:rFonts w:cs="Arial"/>
                <w:b w:val="0"/>
                <w:szCs w:val="8"/>
                <w:lang w:val="fr-FR"/>
              </w:rPr>
            </w:pPr>
            <w:r w:rsidRPr="00763CD4">
              <w:rPr>
                <w:rFonts w:ascii="Arial Unicode MS" w:eastAsia="Arial Unicode MS" w:hAnsi="Arial Unicode MS" w:cs="Arial Unicode MS"/>
                <w:b w:val="0"/>
                <w:szCs w:val="16"/>
                <w:cs/>
                <w:lang w:val="fr-FR" w:bidi="hi-IN"/>
              </w:rPr>
              <w:t>वेबसाइट</w:t>
            </w:r>
            <w:r w:rsidRPr="00DD62AE">
              <w:rPr>
                <w:rFonts w:ascii="Calibri" w:hAnsi="Calibri" w:cs="Mangal"/>
                <w:b w:val="0"/>
                <w:sz w:val="22"/>
                <w:szCs w:val="14"/>
                <w:lang w:val="fr-FR"/>
              </w:rPr>
              <w:t xml:space="preserve"> </w:t>
            </w:r>
            <w:r w:rsidRPr="00763CD4">
              <w:rPr>
                <w:rFonts w:cs="Arial"/>
                <w:b w:val="0"/>
                <w:sz w:val="22"/>
                <w:szCs w:val="14"/>
                <w:lang w:val="fr-FR"/>
              </w:rPr>
              <w:t xml:space="preserve">: </w:t>
            </w:r>
            <w:r w:rsidRPr="00763CD4">
              <w:rPr>
                <w:rFonts w:cs="Arial"/>
                <w:b w:val="0"/>
                <w:szCs w:val="8"/>
                <w:lang w:val="fr-FR"/>
              </w:rPr>
              <w:t>www.rbi.org.in/hindi</w:t>
            </w:r>
          </w:p>
          <w:p w:rsidR="00C021BA" w:rsidRPr="00763CD4" w:rsidRDefault="00C021BA" w:rsidP="00741D32">
            <w:pPr>
              <w:pStyle w:val="Heading1"/>
              <w:jc w:val="left"/>
              <w:rPr>
                <w:rFonts w:cs="Arial"/>
                <w:b w:val="0"/>
                <w:szCs w:val="8"/>
                <w:lang w:val="fr-FR"/>
              </w:rPr>
            </w:pPr>
            <w:r>
              <w:rPr>
                <w:rFonts w:cs="Arial"/>
                <w:b w:val="0"/>
                <w:szCs w:val="8"/>
              </w:rPr>
              <w:t xml:space="preserve">     </w:t>
            </w:r>
            <w:r w:rsidRPr="0082423E">
              <w:rPr>
                <w:rFonts w:cs="Mangal" w:hint="cs"/>
                <w:b w:val="0"/>
                <w:szCs w:val="8"/>
                <w:cs/>
                <w:lang w:bidi="hi-IN"/>
              </w:rPr>
              <w:t xml:space="preserve">    </w:t>
            </w:r>
            <w:r>
              <w:rPr>
                <w:rFonts w:cs="Arial"/>
                <w:b w:val="0"/>
                <w:szCs w:val="8"/>
              </w:rPr>
              <w:t xml:space="preserve">     </w:t>
            </w:r>
            <w:r w:rsidRPr="00763CD4">
              <w:rPr>
                <w:rFonts w:cs="Arial"/>
                <w:b w:val="0"/>
                <w:szCs w:val="8"/>
              </w:rPr>
              <w:t>Website : www.rbi.org.in</w:t>
            </w:r>
          </w:p>
          <w:p w:rsidR="00C021BA" w:rsidRPr="00AD55C1" w:rsidRDefault="00C021BA" w:rsidP="00741D32">
            <w:pPr>
              <w:pStyle w:val="Header"/>
              <w:rPr>
                <w:rFonts w:ascii="Calibri" w:hAnsi="Calibri" w:cs="Mangal"/>
              </w:rPr>
            </w:pPr>
            <w:r>
              <w:rPr>
                <w:rFonts w:ascii="Calibri" w:hAnsi="Calibri" w:cs="Mangal" w:hint="cs"/>
                <w:sz w:val="14"/>
                <w:szCs w:val="14"/>
                <w:cs/>
                <w:lang w:val="fr-FR" w:bidi="hi-IN"/>
              </w:rPr>
              <w:t xml:space="preserve">   </w:t>
            </w:r>
            <w:r>
              <w:rPr>
                <w:rFonts w:ascii="Calibri" w:hAnsi="Calibri" w:cs="Mangal"/>
                <w:sz w:val="14"/>
                <w:szCs w:val="14"/>
                <w:lang w:val="fr-FR" w:bidi="hi-IN"/>
              </w:rPr>
              <w:t xml:space="preserve"> </w:t>
            </w:r>
            <w:r>
              <w:rPr>
                <w:rFonts w:ascii="Calibri" w:hAnsi="Calibri" w:cs="Mangal" w:hint="cs"/>
                <w:sz w:val="14"/>
                <w:szCs w:val="14"/>
                <w:cs/>
                <w:lang w:val="fr-FR" w:bidi="hi-IN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16"/>
                <w:szCs w:val="16"/>
                <w:cs/>
                <w:lang w:val="fr-FR" w:bidi="hi-IN"/>
              </w:rPr>
              <w:t>ई</w:t>
            </w:r>
            <w:r w:rsidRPr="00763CD4">
              <w:rPr>
                <w:rFonts w:ascii="Arial Unicode MS" w:eastAsia="Arial Unicode MS" w:hAnsi="Arial Unicode MS" w:cs="Arial Unicode MS"/>
                <w:sz w:val="16"/>
                <w:szCs w:val="16"/>
                <w:lang w:val="fr-FR"/>
              </w:rPr>
              <w:t>-</w:t>
            </w:r>
            <w:r w:rsidRPr="00763CD4">
              <w:rPr>
                <w:rFonts w:ascii="Arial Unicode MS" w:eastAsia="Arial Unicode MS" w:hAnsi="Arial Unicode MS" w:cs="Arial Unicode MS"/>
                <w:sz w:val="16"/>
                <w:szCs w:val="16"/>
                <w:cs/>
                <w:lang w:val="fr-FR" w:bidi="hi-IN"/>
              </w:rPr>
              <w:t>मेल</w:t>
            </w:r>
            <w:r w:rsidRPr="003B54D2">
              <w:rPr>
                <w:rFonts w:ascii="Calibri" w:hAnsi="Calibri" w:cs="Mangal"/>
                <w:bCs/>
                <w:sz w:val="18"/>
                <w:szCs w:val="18"/>
                <w:lang w:val="fr-FR"/>
              </w:rPr>
              <w:t>/</w:t>
            </w:r>
            <w:r w:rsidRPr="00763CD4">
              <w:rPr>
                <w:rFonts w:ascii="Arial" w:hAnsi="Arial" w:cs="Arial"/>
                <w:bCs/>
                <w:sz w:val="16"/>
                <w:szCs w:val="16"/>
              </w:rPr>
              <w:t>email</w:t>
            </w:r>
            <w:r w:rsidRPr="00763CD4">
              <w:rPr>
                <w:rFonts w:ascii="Arial" w:hAnsi="Arial" w:cs="Arial"/>
                <w:b/>
                <w:sz w:val="20"/>
                <w:szCs w:val="20"/>
                <w:lang w:val="fr-FR"/>
              </w:rPr>
              <w:t>:</w:t>
            </w:r>
            <w:r w:rsidRPr="00763CD4">
              <w:rPr>
                <w:rFonts w:ascii="Arial" w:hAnsi="Arial" w:cs="Arial"/>
                <w:b/>
                <w:color w:val="000000"/>
                <w:sz w:val="26"/>
                <w:lang w:val="fr-FR"/>
              </w:rPr>
              <w:t xml:space="preserve"> </w:t>
            </w:r>
            <w:hyperlink r:id="rId8" w:history="1">
              <w:r w:rsidRPr="00D95E61">
                <w:rPr>
                  <w:rStyle w:val="Hyperlink"/>
                  <w:rFonts w:cs="Arial"/>
                  <w:bCs/>
                  <w:color w:val="000000"/>
                  <w:sz w:val="16"/>
                  <w:szCs w:val="16"/>
                  <w:lang w:val="fr-FR"/>
                </w:rPr>
                <w:t>helpdoc@rbi.org.in</w:t>
              </w:r>
            </w:hyperlink>
          </w:p>
        </w:tc>
      </w:tr>
    </w:tbl>
    <w:p w:rsidR="00C021BA" w:rsidRPr="0005005C" w:rsidRDefault="00C021BA" w:rsidP="00C021BA">
      <w:pPr>
        <w:ind w:left="164"/>
        <w:jc w:val="right"/>
        <w:rPr>
          <w:rFonts w:ascii="Arial" w:hAnsi="Arial" w:cs="Arial"/>
          <w:b/>
          <w:color w:val="000000"/>
          <w:sz w:val="10"/>
          <w:szCs w:val="10"/>
        </w:rPr>
      </w:pPr>
    </w:p>
    <w:p w:rsidR="00C021BA" w:rsidRPr="00A77F5C" w:rsidRDefault="004C7171" w:rsidP="002E50D5">
      <w:pPr>
        <w:ind w:left="164"/>
        <w:jc w:val="right"/>
        <w:rPr>
          <w:rFonts w:ascii="Arial" w:hAnsi="Arial" w:cs="Arial"/>
        </w:rPr>
      </w:pPr>
      <w:r>
        <w:rPr>
          <w:rFonts w:ascii="Arial" w:eastAsia="Arial" w:hAnsi="Arial" w:cs="Arial"/>
        </w:rPr>
        <w:t>December 24</w:t>
      </w:r>
      <w:r w:rsidR="00C021BA" w:rsidRPr="00A77F5C">
        <w:rPr>
          <w:rFonts w:ascii="Arial" w:eastAsia="Arial" w:hAnsi="Arial" w:cs="Arial"/>
        </w:rPr>
        <w:t>, 2020</w:t>
      </w:r>
      <w:r w:rsidR="00C021BA" w:rsidRPr="00A77F5C">
        <w:rPr>
          <w:rFonts w:ascii="Arial" w:hAnsi="Arial" w:cs="Arial"/>
        </w:rPr>
        <w:t xml:space="preserve"> </w:t>
      </w:r>
    </w:p>
    <w:p w:rsidR="00C021BA" w:rsidRPr="00A77F5C" w:rsidRDefault="00C021BA" w:rsidP="002E50D5">
      <w:pPr>
        <w:ind w:left="164"/>
        <w:jc w:val="right"/>
        <w:rPr>
          <w:rFonts w:ascii="Arial" w:hAnsi="Arial" w:cs="Arial"/>
          <w:sz w:val="8"/>
          <w:szCs w:val="8"/>
          <w:lang w:bidi="hi-IN"/>
        </w:rPr>
      </w:pPr>
    </w:p>
    <w:p w:rsidR="00A77F5C" w:rsidRPr="00A77F5C" w:rsidRDefault="00A77F5C" w:rsidP="002E50D5">
      <w:pPr>
        <w:pStyle w:val="Body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A77F5C">
        <w:rPr>
          <w:rFonts w:ascii="Arial" w:hAnsi="Arial" w:cs="Arial"/>
          <w:b/>
          <w:bCs/>
          <w:iCs/>
          <w:sz w:val="24"/>
          <w:szCs w:val="24"/>
        </w:rPr>
        <w:t xml:space="preserve">Performance of the private corporate business sector during the second </w:t>
      </w:r>
    </w:p>
    <w:p w:rsidR="00A77F5C" w:rsidRPr="00A77F5C" w:rsidRDefault="00A77F5C" w:rsidP="002E50D5">
      <w:pPr>
        <w:pStyle w:val="Body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77F5C">
        <w:rPr>
          <w:rFonts w:ascii="Arial" w:hAnsi="Arial" w:cs="Arial"/>
          <w:b/>
          <w:bCs/>
          <w:iCs/>
          <w:sz w:val="24"/>
          <w:szCs w:val="24"/>
        </w:rPr>
        <w:t>quarter of 2020-21</w:t>
      </w:r>
      <w:r w:rsidR="00DD6F4B">
        <w:rPr>
          <w:rFonts w:ascii="Arial" w:hAnsi="Arial" w:cs="Arial"/>
          <w:b/>
          <w:bCs/>
          <w:iCs/>
          <w:sz w:val="24"/>
          <w:szCs w:val="24"/>
        </w:rPr>
        <w:br/>
      </w:r>
    </w:p>
    <w:p w:rsidR="00A77F5C" w:rsidRPr="00A77F5C" w:rsidRDefault="002E50D5" w:rsidP="002E50D5">
      <w:pPr>
        <w:pStyle w:val="NormalWeb"/>
        <w:spacing w:before="0" w:after="0"/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val="en-IN"/>
        </w:rPr>
        <w:t xml:space="preserve">     </w:t>
      </w:r>
      <w:r w:rsidR="00A77F5C" w:rsidRPr="00A77F5C">
        <w:rPr>
          <w:rFonts w:ascii="Arial" w:eastAsia="Calibri" w:hAnsi="Arial" w:cs="Arial"/>
          <w:lang w:val="en-IN"/>
        </w:rPr>
        <w:t xml:space="preserve">Today, the Reserve Bank released data on the performance of the private corporate sector during the second quarter of 2020-21 drawn from abridged quarterly financial results of 2,637 listed non-government non-financial (NGNF) companies. Data pertaining to Q2:2019-20 and Q1:2020-21 are also presented in the tables to enable comparison. </w:t>
      </w:r>
      <w:r>
        <w:rPr>
          <w:rFonts w:ascii="Arial" w:eastAsia="Calibri" w:hAnsi="Arial" w:cs="Arial"/>
          <w:shd w:val="clear" w:color="auto" w:fill="FFFFFF"/>
        </w:rPr>
        <w:t xml:space="preserve">The data </w:t>
      </w:r>
      <w:r w:rsidR="00A77F5C" w:rsidRPr="00A77F5C">
        <w:rPr>
          <w:rFonts w:ascii="Arial" w:eastAsia="Calibri" w:hAnsi="Arial" w:cs="Arial"/>
          <w:shd w:val="clear" w:color="auto" w:fill="FFFFFF"/>
        </w:rPr>
        <w:t xml:space="preserve">can be accessed at the web-link </w:t>
      </w:r>
      <w:hyperlink r:id="rId9" w:anchor="!2_42" w:history="1">
        <w:r w:rsidR="00A77F5C" w:rsidRPr="009200CA">
          <w:rPr>
            <w:rStyle w:val="Hyperlink0"/>
            <w:rFonts w:ascii="Arial" w:hAnsi="Arial" w:cs="Arial"/>
            <w:color w:val="0000FF"/>
            <w:sz w:val="24"/>
            <w:szCs w:val="24"/>
          </w:rPr>
          <w:t>https://dbie.rbi.org.in/DBIE/dbie.rbi?site=statistics#!2_42</w:t>
        </w:r>
      </w:hyperlink>
      <w:r w:rsidR="00A77F5C" w:rsidRPr="00A77F5C">
        <w:rPr>
          <w:rFonts w:ascii="Arial" w:eastAsia="Calibri" w:hAnsi="Arial" w:cs="Arial"/>
          <w:shd w:val="clear" w:color="auto" w:fill="FFFFFF"/>
        </w:rPr>
        <w:t xml:space="preserve">. </w:t>
      </w:r>
      <w:r w:rsidR="00A77F5C" w:rsidRPr="00A77F5C">
        <w:rPr>
          <w:rFonts w:ascii="Arial" w:eastAsia="Calibri" w:hAnsi="Arial" w:cs="Arial"/>
        </w:rPr>
        <w:t xml:space="preserve"> </w:t>
      </w:r>
    </w:p>
    <w:p w:rsidR="00A77F5C" w:rsidRPr="00A77F5C" w:rsidRDefault="00A77F5C" w:rsidP="002E50D5">
      <w:pPr>
        <w:pStyle w:val="Heading2"/>
        <w:spacing w:before="0"/>
        <w:jc w:val="both"/>
        <w:rPr>
          <w:rFonts w:ascii="Arial" w:hAnsi="Arial" w:cs="Arial"/>
          <w:color w:val="000000"/>
          <w:sz w:val="6"/>
          <w:szCs w:val="6"/>
          <w:u w:color="000000"/>
        </w:rPr>
      </w:pPr>
    </w:p>
    <w:p w:rsidR="00A77F5C" w:rsidRPr="00467A3E" w:rsidRDefault="00A77F5C" w:rsidP="002E50D5">
      <w:pPr>
        <w:pStyle w:val="Heading2"/>
        <w:spacing w:before="0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</w:rPr>
      </w:pPr>
      <w:r w:rsidRPr="00467A3E">
        <w:rPr>
          <w:rFonts w:ascii="Arial" w:hAnsi="Arial" w:cs="Arial"/>
          <w:b/>
          <w:bCs/>
          <w:color w:val="000000"/>
          <w:sz w:val="24"/>
          <w:szCs w:val="24"/>
          <w:u w:color="000000"/>
        </w:rPr>
        <w:t>Highlights</w:t>
      </w:r>
    </w:p>
    <w:p w:rsidR="00A77F5C" w:rsidRPr="00A77F5C" w:rsidRDefault="00A77F5C" w:rsidP="002E50D5">
      <w:pPr>
        <w:pStyle w:val="Heading2"/>
        <w:spacing w:before="0"/>
        <w:jc w:val="both"/>
        <w:rPr>
          <w:rFonts w:ascii="Arial" w:hAnsi="Arial" w:cs="Arial"/>
          <w:color w:val="000000"/>
          <w:sz w:val="8"/>
          <w:szCs w:val="8"/>
          <w:u w:color="000000"/>
        </w:rPr>
      </w:pPr>
    </w:p>
    <w:p w:rsidR="00A77F5C" w:rsidRPr="00467A3E" w:rsidRDefault="00A77F5C" w:rsidP="002E50D5">
      <w:pPr>
        <w:pStyle w:val="Heading2"/>
        <w:spacing w:before="0"/>
        <w:jc w:val="both"/>
        <w:rPr>
          <w:rFonts w:ascii="Arial" w:hAnsi="Arial" w:cs="Arial"/>
          <w:b/>
          <w:bCs/>
          <w:sz w:val="24"/>
          <w:szCs w:val="24"/>
        </w:rPr>
      </w:pPr>
      <w:r w:rsidRPr="00467A3E">
        <w:rPr>
          <w:rFonts w:ascii="Arial" w:hAnsi="Arial" w:cs="Arial"/>
          <w:b/>
          <w:bCs/>
          <w:color w:val="000000"/>
          <w:sz w:val="24"/>
          <w:szCs w:val="24"/>
          <w:u w:color="000000"/>
        </w:rPr>
        <w:t>Sales</w:t>
      </w:r>
    </w:p>
    <w:p w:rsidR="00A77F5C" w:rsidRPr="00A77F5C" w:rsidRDefault="00A77F5C" w:rsidP="002E50D5">
      <w:pPr>
        <w:pStyle w:val="Body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7F5C">
        <w:rPr>
          <w:rFonts w:ascii="Arial" w:hAnsi="Arial" w:cs="Arial"/>
          <w:sz w:val="24"/>
          <w:szCs w:val="24"/>
        </w:rPr>
        <w:t>Demand conditions in the manufacturing sector moved to the path of recovery with a softer contraction of 4.3 per cent (Y-o-Y) in nominal sales after a contraction of 41.1 per cent in the previous quarter, which witnessed major country-wide lockdown due to the COVID-19 pandemic; the recovery was led by iron and steel, food products, cement, automobile and pharmaceuticals companies (Table 2A and Table 5A).</w:t>
      </w:r>
    </w:p>
    <w:p w:rsidR="00A77F5C" w:rsidRPr="00A77F5C" w:rsidRDefault="00A77F5C" w:rsidP="002E50D5">
      <w:pPr>
        <w:pStyle w:val="Body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77F5C">
        <w:rPr>
          <w:rFonts w:ascii="Arial" w:hAnsi="Arial" w:cs="Arial"/>
          <w:color w:val="auto"/>
          <w:sz w:val="24"/>
          <w:szCs w:val="24"/>
        </w:rPr>
        <w:t>Nominal sales of non-IT services sector also registered lower contraction of 14.5 per cent (Y-o-Y) led by expansion in sales of telecommunication and real estate companies</w:t>
      </w:r>
      <w:r w:rsidRPr="00A77F5C">
        <w:rPr>
          <w:rFonts w:ascii="Arial" w:hAnsi="Arial" w:cs="Arial"/>
          <w:sz w:val="24"/>
          <w:szCs w:val="24"/>
        </w:rPr>
        <w:t xml:space="preserve"> (Table 2A and Table 5A)</w:t>
      </w:r>
      <w:r w:rsidRPr="00A77F5C">
        <w:rPr>
          <w:rFonts w:ascii="Arial" w:hAnsi="Arial" w:cs="Arial"/>
          <w:color w:val="auto"/>
          <w:sz w:val="24"/>
          <w:szCs w:val="24"/>
        </w:rPr>
        <w:t>.</w:t>
      </w:r>
    </w:p>
    <w:p w:rsidR="00A77F5C" w:rsidRPr="00A77F5C" w:rsidRDefault="00A77F5C" w:rsidP="002E50D5">
      <w:pPr>
        <w:pStyle w:val="Body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77F5C">
        <w:rPr>
          <w:rFonts w:ascii="Arial" w:hAnsi="Arial" w:cs="Arial"/>
          <w:color w:val="auto"/>
          <w:sz w:val="24"/>
          <w:szCs w:val="24"/>
        </w:rPr>
        <w:t xml:space="preserve">Sales growth of IT sector companies remained steady at 3.6 per cent (Y-o-Y) in Q2:2020-21 (Table 2A). </w:t>
      </w:r>
    </w:p>
    <w:p w:rsidR="00A77F5C" w:rsidRPr="00467A3E" w:rsidRDefault="00A77F5C" w:rsidP="002E50D5">
      <w:pPr>
        <w:pStyle w:val="Heading2"/>
        <w:spacing w:before="0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467A3E">
        <w:rPr>
          <w:rFonts w:ascii="Arial" w:hAnsi="Arial" w:cs="Arial"/>
          <w:b/>
          <w:bCs/>
          <w:color w:val="000000"/>
          <w:sz w:val="24"/>
          <w:szCs w:val="24"/>
          <w:u w:color="000000"/>
          <w:lang w:val="en-GB"/>
        </w:rPr>
        <w:t>Expenditure</w:t>
      </w:r>
    </w:p>
    <w:p w:rsidR="00A77F5C" w:rsidRPr="00A77F5C" w:rsidRDefault="00A77F5C" w:rsidP="002E50D5">
      <w:pPr>
        <w:pStyle w:val="Body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Cs/>
          <w:sz w:val="24"/>
          <w:szCs w:val="24"/>
          <w:lang w:val="en-IN"/>
        </w:rPr>
      </w:pPr>
      <w:r w:rsidRPr="00A77F5C">
        <w:rPr>
          <w:rFonts w:ascii="Arial" w:hAnsi="Arial" w:cs="Arial"/>
          <w:sz w:val="24"/>
          <w:szCs w:val="24"/>
          <w:lang w:val="en-GB"/>
        </w:rPr>
        <w:t>Input cost pressure from raw materials remained subdued for manufacturing sector in Q2:2020-</w:t>
      </w:r>
      <w:r w:rsidRPr="00A77F5C">
        <w:rPr>
          <w:rFonts w:ascii="Arial" w:hAnsi="Arial" w:cs="Arial"/>
          <w:iCs/>
          <w:sz w:val="24"/>
          <w:szCs w:val="24"/>
          <w:lang w:val="en-IN"/>
        </w:rPr>
        <w:t xml:space="preserve">21 (Table 2A). </w:t>
      </w:r>
    </w:p>
    <w:p w:rsidR="00A77F5C" w:rsidRPr="00A77F5C" w:rsidRDefault="00A77F5C" w:rsidP="002E50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Cs/>
          <w:sz w:val="24"/>
          <w:szCs w:val="24"/>
          <w:lang w:val="en-IN"/>
        </w:rPr>
      </w:pPr>
      <w:r w:rsidRPr="00A77F5C">
        <w:rPr>
          <w:rFonts w:ascii="Arial" w:hAnsi="Arial" w:cs="Arial"/>
          <w:iCs/>
          <w:sz w:val="24"/>
          <w:szCs w:val="24"/>
          <w:lang w:val="en-IN"/>
        </w:rPr>
        <w:t>Staff cost growth (Y-o-Y) decelerated for IT companies in Q2:2020-21, whereas it remained in contraction zone for the manufacturing and non-IT services sectors (Table 2A).</w:t>
      </w:r>
    </w:p>
    <w:p w:rsidR="00A77F5C" w:rsidRPr="00467A3E" w:rsidRDefault="00A77F5C" w:rsidP="002E50D5">
      <w:pPr>
        <w:pStyle w:val="Heading2"/>
        <w:spacing w:before="0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467A3E">
        <w:rPr>
          <w:rFonts w:ascii="Arial" w:hAnsi="Arial" w:cs="Arial"/>
          <w:b/>
          <w:bCs/>
          <w:color w:val="000000"/>
          <w:sz w:val="24"/>
          <w:szCs w:val="24"/>
          <w:u w:color="000000"/>
          <w:lang w:val="en-GB"/>
        </w:rPr>
        <w:t xml:space="preserve">Operating profit </w:t>
      </w:r>
    </w:p>
    <w:p w:rsidR="00A77F5C" w:rsidRPr="00A77F5C" w:rsidRDefault="00A77F5C" w:rsidP="002E50D5">
      <w:pPr>
        <w:pStyle w:val="Body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7F5C">
        <w:rPr>
          <w:rFonts w:ascii="Arial" w:hAnsi="Arial" w:cs="Arial"/>
          <w:sz w:val="24"/>
          <w:szCs w:val="24"/>
          <w:lang w:val="en-IN"/>
        </w:rPr>
        <w:t>O</w:t>
      </w:r>
      <w:r w:rsidRPr="00A77F5C">
        <w:rPr>
          <w:rFonts w:ascii="Arial" w:hAnsi="Arial" w:cs="Arial"/>
          <w:iCs/>
          <w:sz w:val="24"/>
          <w:szCs w:val="24"/>
          <w:lang w:val="en-IN"/>
        </w:rPr>
        <w:t xml:space="preserve">perating profits </w:t>
      </w:r>
      <w:r w:rsidRPr="00A77F5C">
        <w:rPr>
          <w:rFonts w:ascii="Arial" w:hAnsi="Arial" w:cs="Arial"/>
          <w:sz w:val="24"/>
          <w:szCs w:val="24"/>
          <w:lang w:val="en-IN"/>
        </w:rPr>
        <w:t xml:space="preserve">of </w:t>
      </w:r>
      <w:r w:rsidRPr="00A77F5C">
        <w:rPr>
          <w:rFonts w:ascii="Arial" w:hAnsi="Arial" w:cs="Arial"/>
          <w:iCs/>
          <w:sz w:val="24"/>
          <w:szCs w:val="24"/>
          <w:lang w:val="en-IN"/>
        </w:rPr>
        <w:t xml:space="preserve">manufacturing companies increased on the back of savings in expenditure; </w:t>
      </w:r>
      <w:r w:rsidRPr="00A77F5C">
        <w:rPr>
          <w:rFonts w:ascii="Arial" w:hAnsi="Arial" w:cs="Arial"/>
          <w:sz w:val="24"/>
          <w:szCs w:val="24"/>
          <w:lang w:val="en-IN"/>
        </w:rPr>
        <w:t xml:space="preserve">operating profits of services (both IT and Non-IT) companies also increased in Q2:2020-21 </w:t>
      </w:r>
      <w:r w:rsidRPr="00A77F5C">
        <w:rPr>
          <w:rFonts w:ascii="Arial" w:hAnsi="Arial" w:cs="Arial"/>
          <w:iCs/>
          <w:sz w:val="24"/>
          <w:szCs w:val="24"/>
          <w:lang w:val="en-IN"/>
        </w:rPr>
        <w:t>(Table 2A).</w:t>
      </w:r>
    </w:p>
    <w:p w:rsidR="00A77F5C" w:rsidRPr="00467A3E" w:rsidRDefault="00A77F5C" w:rsidP="00A77F5C">
      <w:pPr>
        <w:pStyle w:val="Body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467A3E">
        <w:rPr>
          <w:rFonts w:ascii="Arial" w:eastAsia="Calibri Light" w:hAnsi="Arial" w:cs="Arial"/>
          <w:b/>
          <w:bCs/>
          <w:sz w:val="24"/>
          <w:szCs w:val="24"/>
        </w:rPr>
        <w:t>Interest</w:t>
      </w:r>
    </w:p>
    <w:p w:rsidR="00A77F5C" w:rsidRPr="00A77F5C" w:rsidRDefault="00A77F5C" w:rsidP="00A77F5C">
      <w:pPr>
        <w:pStyle w:val="ListParagraph"/>
        <w:numPr>
          <w:ilvl w:val="0"/>
          <w:numId w:val="6"/>
        </w:numPr>
        <w:spacing w:after="120"/>
        <w:ind w:hanging="357"/>
        <w:contextualSpacing/>
        <w:jc w:val="both"/>
        <w:rPr>
          <w:rFonts w:ascii="Arial" w:hAnsi="Arial" w:cs="Arial"/>
          <w:color w:val="auto"/>
          <w:sz w:val="24"/>
          <w:szCs w:val="24"/>
          <w:lang w:val="en-IN"/>
        </w:rPr>
      </w:pPr>
      <w:r w:rsidRPr="00A77F5C">
        <w:rPr>
          <w:rFonts w:ascii="Arial" w:hAnsi="Arial" w:cs="Arial"/>
          <w:color w:val="auto"/>
          <w:sz w:val="24"/>
          <w:szCs w:val="24"/>
          <w:lang w:val="en-IN"/>
        </w:rPr>
        <w:t>With rise in profits, interest coverage ratio (ICR)</w:t>
      </w:r>
      <w:r w:rsidRPr="00A77F5C">
        <w:rPr>
          <w:rStyle w:val="FootnoteReference"/>
          <w:rFonts w:ascii="Arial" w:hAnsi="Arial" w:cs="Arial"/>
          <w:color w:val="auto"/>
          <w:sz w:val="24"/>
          <w:szCs w:val="24"/>
          <w:lang w:val="en-IN"/>
        </w:rPr>
        <w:footnoteReference w:id="1"/>
      </w:r>
      <w:r w:rsidRPr="00A77F5C">
        <w:rPr>
          <w:rFonts w:ascii="Arial" w:hAnsi="Arial" w:cs="Arial"/>
          <w:color w:val="auto"/>
          <w:sz w:val="24"/>
          <w:szCs w:val="24"/>
          <w:lang w:val="en-IN"/>
        </w:rPr>
        <w:t xml:space="preserve"> of manufacturing companies improved to 4.6 in Q2:2020-21 from 2.4 in the previous quarter; the ICR of non-IT services companies remained below one (Table 2B).</w:t>
      </w:r>
    </w:p>
    <w:p w:rsidR="00A77F5C" w:rsidRPr="002E50D5" w:rsidRDefault="00A77F5C" w:rsidP="002E50D5">
      <w:pPr>
        <w:pStyle w:val="Heading2"/>
        <w:spacing w:before="0"/>
        <w:jc w:val="both"/>
        <w:rPr>
          <w:rFonts w:ascii="Arial" w:hAnsi="Arial" w:cs="Arial"/>
          <w:b/>
          <w:bCs/>
          <w:sz w:val="24"/>
          <w:szCs w:val="24"/>
        </w:rPr>
      </w:pPr>
      <w:r w:rsidRPr="002E50D5">
        <w:rPr>
          <w:rFonts w:ascii="Arial" w:hAnsi="Arial" w:cs="Arial"/>
          <w:b/>
          <w:bCs/>
          <w:color w:val="000000"/>
          <w:sz w:val="24"/>
          <w:szCs w:val="24"/>
          <w:u w:color="000000"/>
        </w:rPr>
        <w:lastRenderedPageBreak/>
        <w:t>Pricing power</w:t>
      </w:r>
    </w:p>
    <w:p w:rsidR="00A77F5C" w:rsidRPr="002E50D5" w:rsidRDefault="00A77F5C" w:rsidP="002E50D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50D5">
        <w:rPr>
          <w:rFonts w:ascii="Arial" w:hAnsi="Arial" w:cs="Arial"/>
          <w:sz w:val="24"/>
          <w:szCs w:val="24"/>
        </w:rPr>
        <w:t xml:space="preserve">Profit margins improved across manufacturing and services companies on account of rise in profit from cost saving </w:t>
      </w:r>
      <w:r w:rsidRPr="002E50D5">
        <w:rPr>
          <w:rFonts w:ascii="Arial" w:hAnsi="Arial" w:cs="Arial"/>
          <w:iCs/>
          <w:sz w:val="24"/>
          <w:szCs w:val="24"/>
          <w:lang w:val="en-IN"/>
        </w:rPr>
        <w:t>(Table 2B)</w:t>
      </w:r>
      <w:r w:rsidRPr="002E50D5">
        <w:rPr>
          <w:rFonts w:ascii="Arial" w:hAnsi="Arial" w:cs="Arial"/>
          <w:sz w:val="24"/>
          <w:szCs w:val="24"/>
        </w:rPr>
        <w:t xml:space="preserve">. </w:t>
      </w:r>
    </w:p>
    <w:p w:rsidR="00A77F5C" w:rsidRPr="002E50D5" w:rsidRDefault="00A77F5C" w:rsidP="002E50D5">
      <w:pPr>
        <w:jc w:val="both"/>
        <w:rPr>
          <w:rFonts w:ascii="Arial" w:hAnsi="Arial" w:cs="Arial"/>
        </w:rPr>
      </w:pPr>
    </w:p>
    <w:p w:rsidR="00467A3E" w:rsidRPr="002E50D5" w:rsidRDefault="00467A3E" w:rsidP="002E50D5">
      <w:pPr>
        <w:pStyle w:val="NormalWeb"/>
        <w:spacing w:before="0"/>
        <w:ind w:left="360"/>
        <w:jc w:val="center"/>
        <w:rPr>
          <w:rFonts w:ascii="Arial" w:hAnsi="Arial" w:cs="Arial"/>
          <w:b/>
          <w:bCs/>
        </w:rPr>
      </w:pPr>
      <w:r w:rsidRPr="002E50D5">
        <w:rPr>
          <w:rFonts w:ascii="Arial" w:eastAsia="Calibri" w:hAnsi="Arial" w:cs="Arial"/>
          <w:b/>
          <w:bCs/>
        </w:rPr>
        <w:t>List of Tables</w:t>
      </w:r>
    </w:p>
    <w:tbl>
      <w:tblPr>
        <w:tblW w:w="93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704"/>
        <w:gridCol w:w="599"/>
        <w:gridCol w:w="6320"/>
        <w:gridCol w:w="1727"/>
      </w:tblGrid>
      <w:tr w:rsidR="00467A3E" w:rsidRPr="002E50D5" w:rsidTr="00E10E72">
        <w:trPr>
          <w:trHeight w:val="250"/>
          <w:jc w:val="center"/>
        </w:trPr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7A3E" w:rsidRPr="002E50D5" w:rsidRDefault="00467A3E" w:rsidP="002E50D5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0D5">
              <w:rPr>
                <w:rFonts w:ascii="Arial" w:hAnsi="Arial" w:cs="Arial"/>
                <w:b/>
                <w:bCs/>
                <w:sz w:val="24"/>
                <w:szCs w:val="24"/>
              </w:rPr>
              <w:t>Table No.</w:t>
            </w:r>
          </w:p>
        </w:tc>
        <w:tc>
          <w:tcPr>
            <w:tcW w:w="8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7A3E" w:rsidRPr="002E50D5" w:rsidRDefault="00467A3E" w:rsidP="002E50D5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0D5">
              <w:rPr>
                <w:rFonts w:ascii="Arial" w:hAnsi="Arial" w:cs="Arial"/>
                <w:b/>
                <w:bCs/>
                <w:sz w:val="24"/>
                <w:szCs w:val="24"/>
              </w:rPr>
              <w:t>Title</w:t>
            </w:r>
          </w:p>
        </w:tc>
      </w:tr>
      <w:tr w:rsidR="00467A3E" w:rsidRPr="002E50D5" w:rsidTr="00E10E72">
        <w:trPr>
          <w:trHeight w:val="25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A3E" w:rsidRPr="002E50D5" w:rsidRDefault="00467A3E" w:rsidP="002E50D5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0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7A3E" w:rsidRPr="002E50D5" w:rsidRDefault="00467A3E" w:rsidP="002E50D5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0D5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A3E" w:rsidRPr="002E50D5" w:rsidRDefault="00467A3E" w:rsidP="002E50D5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0D5">
              <w:rPr>
                <w:rFonts w:ascii="Arial" w:hAnsi="Arial" w:cs="Arial"/>
                <w:sz w:val="24"/>
                <w:szCs w:val="24"/>
              </w:rPr>
              <w:t>Performance of Listed Non-Government Non-Financial Companies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7A3E" w:rsidRPr="002E50D5" w:rsidRDefault="00467A3E" w:rsidP="002E50D5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0D5">
              <w:rPr>
                <w:rFonts w:ascii="Arial" w:hAnsi="Arial" w:cs="Arial"/>
                <w:sz w:val="24"/>
                <w:szCs w:val="24"/>
              </w:rPr>
              <w:t>Growth Rates</w:t>
            </w:r>
          </w:p>
        </w:tc>
      </w:tr>
      <w:tr w:rsidR="00467A3E" w:rsidRPr="002E50D5" w:rsidTr="00E10E72">
        <w:trPr>
          <w:trHeight w:val="25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3E" w:rsidRPr="002E50D5" w:rsidRDefault="00467A3E" w:rsidP="002E5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7A3E" w:rsidRPr="002E50D5" w:rsidRDefault="00467A3E" w:rsidP="002E50D5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0D5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3E" w:rsidRPr="002E50D5" w:rsidRDefault="00467A3E" w:rsidP="002E50D5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7A3E" w:rsidRPr="002E50D5" w:rsidRDefault="00467A3E" w:rsidP="002E50D5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0D5">
              <w:rPr>
                <w:rFonts w:ascii="Arial" w:hAnsi="Arial" w:cs="Arial"/>
                <w:sz w:val="24"/>
                <w:szCs w:val="24"/>
              </w:rPr>
              <w:t>Select Ratios</w:t>
            </w:r>
          </w:p>
        </w:tc>
      </w:tr>
      <w:tr w:rsidR="00467A3E" w:rsidRPr="002E50D5" w:rsidTr="00E10E72">
        <w:trPr>
          <w:trHeight w:val="25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A3E" w:rsidRPr="002E50D5" w:rsidRDefault="00467A3E" w:rsidP="002E50D5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0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7A3E" w:rsidRPr="002E50D5" w:rsidRDefault="00467A3E" w:rsidP="002E50D5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0D5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A3E" w:rsidRPr="002E50D5" w:rsidRDefault="00467A3E" w:rsidP="002E50D5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0D5">
              <w:rPr>
                <w:rFonts w:ascii="Arial" w:hAnsi="Arial" w:cs="Arial"/>
                <w:sz w:val="24"/>
                <w:szCs w:val="24"/>
              </w:rPr>
              <w:t>Performance of Listed Non-Government Non-Financial Companies – Sector-wise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7A3E" w:rsidRPr="002E50D5" w:rsidRDefault="00467A3E" w:rsidP="002E50D5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0D5">
              <w:rPr>
                <w:rFonts w:ascii="Arial" w:hAnsi="Arial" w:cs="Arial"/>
                <w:sz w:val="24"/>
                <w:szCs w:val="24"/>
              </w:rPr>
              <w:t>Growth Rates</w:t>
            </w:r>
          </w:p>
        </w:tc>
      </w:tr>
      <w:tr w:rsidR="00467A3E" w:rsidRPr="002E50D5" w:rsidTr="00E10E72">
        <w:trPr>
          <w:trHeight w:val="25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3E" w:rsidRPr="002E50D5" w:rsidRDefault="00467A3E" w:rsidP="002E5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7A3E" w:rsidRPr="002E50D5" w:rsidRDefault="00467A3E" w:rsidP="002E50D5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0D5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3E" w:rsidRPr="002E50D5" w:rsidRDefault="00467A3E" w:rsidP="002E50D5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7A3E" w:rsidRPr="002E50D5" w:rsidRDefault="00467A3E" w:rsidP="002E50D5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0D5">
              <w:rPr>
                <w:rFonts w:ascii="Arial" w:hAnsi="Arial" w:cs="Arial"/>
                <w:sz w:val="24"/>
                <w:szCs w:val="24"/>
              </w:rPr>
              <w:t>Select Ratios</w:t>
            </w:r>
          </w:p>
        </w:tc>
      </w:tr>
      <w:tr w:rsidR="00467A3E" w:rsidRPr="002E50D5" w:rsidTr="00E10E72">
        <w:trPr>
          <w:trHeight w:val="25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A3E" w:rsidRPr="002E50D5" w:rsidRDefault="00467A3E" w:rsidP="002E50D5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0D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7A3E" w:rsidRPr="002E50D5" w:rsidRDefault="00467A3E" w:rsidP="002E50D5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0D5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A3E" w:rsidRPr="002E50D5" w:rsidRDefault="00467A3E" w:rsidP="002E50D5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0D5">
              <w:rPr>
                <w:rFonts w:ascii="Arial" w:hAnsi="Arial" w:cs="Arial"/>
                <w:sz w:val="24"/>
                <w:szCs w:val="24"/>
              </w:rPr>
              <w:t>Performance of Listed Non-Government Non-Financial Companies according to Size of Paid-up-Capital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7A3E" w:rsidRPr="002E50D5" w:rsidRDefault="00467A3E" w:rsidP="002E50D5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0D5">
              <w:rPr>
                <w:rFonts w:ascii="Arial" w:hAnsi="Arial" w:cs="Arial"/>
                <w:sz w:val="24"/>
                <w:szCs w:val="24"/>
              </w:rPr>
              <w:t>Growth Rates</w:t>
            </w:r>
          </w:p>
        </w:tc>
      </w:tr>
      <w:tr w:rsidR="00467A3E" w:rsidRPr="002E50D5" w:rsidTr="00E10E72">
        <w:trPr>
          <w:trHeight w:val="25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3E" w:rsidRPr="002E50D5" w:rsidRDefault="00467A3E" w:rsidP="002E5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7A3E" w:rsidRPr="002E50D5" w:rsidRDefault="00467A3E" w:rsidP="002E50D5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0D5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3E" w:rsidRPr="002E50D5" w:rsidRDefault="00467A3E" w:rsidP="002E50D5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7A3E" w:rsidRPr="002E50D5" w:rsidRDefault="00467A3E" w:rsidP="002E50D5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0D5">
              <w:rPr>
                <w:rFonts w:ascii="Arial" w:hAnsi="Arial" w:cs="Arial"/>
                <w:sz w:val="24"/>
                <w:szCs w:val="24"/>
              </w:rPr>
              <w:t>Select Ratios</w:t>
            </w:r>
          </w:p>
        </w:tc>
      </w:tr>
      <w:tr w:rsidR="00467A3E" w:rsidRPr="002E50D5" w:rsidTr="00E10E72">
        <w:trPr>
          <w:trHeight w:val="25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A3E" w:rsidRPr="002E50D5" w:rsidRDefault="00467A3E" w:rsidP="002E50D5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0D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7A3E" w:rsidRPr="002E50D5" w:rsidRDefault="00467A3E" w:rsidP="002E50D5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0D5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A3E" w:rsidRPr="002E50D5" w:rsidRDefault="00467A3E" w:rsidP="002E50D5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0D5">
              <w:rPr>
                <w:rFonts w:ascii="Arial" w:hAnsi="Arial" w:cs="Arial"/>
                <w:sz w:val="24"/>
                <w:szCs w:val="24"/>
              </w:rPr>
              <w:t>Performance of Listed Non-Government Non-Financial Companies according to Size of Sales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7A3E" w:rsidRPr="002E50D5" w:rsidRDefault="00467A3E" w:rsidP="002E50D5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0D5">
              <w:rPr>
                <w:rFonts w:ascii="Arial" w:hAnsi="Arial" w:cs="Arial"/>
                <w:sz w:val="24"/>
                <w:szCs w:val="24"/>
              </w:rPr>
              <w:t>Growth Rates</w:t>
            </w:r>
          </w:p>
        </w:tc>
      </w:tr>
      <w:tr w:rsidR="00467A3E" w:rsidRPr="002E50D5" w:rsidTr="00E10E72">
        <w:trPr>
          <w:trHeight w:val="25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3E" w:rsidRPr="002E50D5" w:rsidRDefault="00467A3E" w:rsidP="002E5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7A3E" w:rsidRPr="002E50D5" w:rsidRDefault="00467A3E" w:rsidP="002E50D5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0D5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3E" w:rsidRPr="002E50D5" w:rsidRDefault="00467A3E" w:rsidP="002E50D5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7A3E" w:rsidRPr="002E50D5" w:rsidRDefault="00467A3E" w:rsidP="002E50D5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0D5">
              <w:rPr>
                <w:rFonts w:ascii="Arial" w:hAnsi="Arial" w:cs="Arial"/>
                <w:sz w:val="24"/>
                <w:szCs w:val="24"/>
              </w:rPr>
              <w:t>Select Ratios</w:t>
            </w:r>
          </w:p>
        </w:tc>
      </w:tr>
      <w:tr w:rsidR="00467A3E" w:rsidRPr="002E50D5" w:rsidTr="00E10E72">
        <w:trPr>
          <w:trHeight w:val="25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A3E" w:rsidRPr="002E50D5" w:rsidRDefault="00467A3E" w:rsidP="002E50D5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0D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7A3E" w:rsidRPr="002E50D5" w:rsidRDefault="00467A3E" w:rsidP="002E50D5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0D5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A3E" w:rsidRPr="002E50D5" w:rsidRDefault="00467A3E" w:rsidP="002E50D5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0D5">
              <w:rPr>
                <w:rFonts w:ascii="Arial" w:hAnsi="Arial" w:cs="Arial"/>
                <w:sz w:val="24"/>
                <w:szCs w:val="24"/>
              </w:rPr>
              <w:t>Performance of Listed Non-Government Non-Financial Companies according to Industry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7A3E" w:rsidRPr="002E50D5" w:rsidRDefault="00467A3E" w:rsidP="002E50D5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0D5">
              <w:rPr>
                <w:rFonts w:ascii="Arial" w:hAnsi="Arial" w:cs="Arial"/>
                <w:sz w:val="24"/>
                <w:szCs w:val="24"/>
              </w:rPr>
              <w:t>Growth Rates</w:t>
            </w:r>
          </w:p>
        </w:tc>
      </w:tr>
      <w:tr w:rsidR="00467A3E" w:rsidRPr="002E50D5" w:rsidTr="00E10E72">
        <w:trPr>
          <w:trHeight w:val="25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3E" w:rsidRPr="002E50D5" w:rsidRDefault="00467A3E" w:rsidP="002E50D5">
            <w:pPr>
              <w:rPr>
                <w:rFonts w:ascii="Arial" w:hAnsi="Arial" w:cs="Arial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7A3E" w:rsidRPr="002E50D5" w:rsidRDefault="00467A3E" w:rsidP="002E50D5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0D5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3E" w:rsidRPr="002E50D5" w:rsidRDefault="00467A3E" w:rsidP="002E50D5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7A3E" w:rsidRPr="002E50D5" w:rsidRDefault="00467A3E" w:rsidP="002E50D5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0D5">
              <w:rPr>
                <w:rFonts w:ascii="Arial" w:hAnsi="Arial" w:cs="Arial"/>
                <w:sz w:val="24"/>
                <w:szCs w:val="24"/>
              </w:rPr>
              <w:t>Select Ratios</w:t>
            </w:r>
          </w:p>
        </w:tc>
      </w:tr>
      <w:tr w:rsidR="00467A3E" w:rsidRPr="002E50D5" w:rsidTr="00E10E72">
        <w:trPr>
          <w:trHeight w:val="337"/>
          <w:jc w:val="center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7A3E" w:rsidRPr="002E50D5" w:rsidRDefault="00467A3E" w:rsidP="002E50D5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0D5">
              <w:rPr>
                <w:rFonts w:ascii="Arial" w:hAnsi="Arial" w:cs="Arial"/>
                <w:sz w:val="24"/>
                <w:szCs w:val="24"/>
              </w:rPr>
              <w:t>Explanatory Notes</w:t>
            </w:r>
          </w:p>
        </w:tc>
      </w:tr>
      <w:tr w:rsidR="00467A3E" w:rsidRPr="002E50D5" w:rsidTr="00E10E72">
        <w:trPr>
          <w:trHeight w:val="250"/>
          <w:jc w:val="center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7A3E" w:rsidRPr="002E50D5" w:rsidRDefault="00467A3E" w:rsidP="002E50D5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0D5">
              <w:rPr>
                <w:rFonts w:ascii="Arial" w:hAnsi="Arial" w:cs="Arial"/>
                <w:sz w:val="24"/>
                <w:szCs w:val="24"/>
              </w:rPr>
              <w:t>Glossary</w:t>
            </w:r>
          </w:p>
        </w:tc>
      </w:tr>
    </w:tbl>
    <w:p w:rsidR="00467A3E" w:rsidRPr="002E50D5" w:rsidRDefault="00467A3E" w:rsidP="002E50D5">
      <w:pPr>
        <w:pStyle w:val="NormalWeb"/>
        <w:spacing w:before="60" w:after="0"/>
        <w:jc w:val="both"/>
        <w:rPr>
          <w:rFonts w:ascii="Arial" w:eastAsia="Calibri" w:hAnsi="Arial" w:cs="Arial"/>
          <w:b/>
          <w:bCs/>
        </w:rPr>
      </w:pPr>
    </w:p>
    <w:p w:rsidR="00467A3E" w:rsidRPr="002E50D5" w:rsidRDefault="00467A3E" w:rsidP="002E50D5">
      <w:pPr>
        <w:pStyle w:val="NormalWeb"/>
        <w:spacing w:before="0" w:after="0"/>
        <w:jc w:val="both"/>
        <w:rPr>
          <w:rFonts w:ascii="Arial" w:hAnsi="Arial" w:cs="Arial"/>
        </w:rPr>
      </w:pPr>
      <w:r w:rsidRPr="002E50D5">
        <w:rPr>
          <w:rFonts w:ascii="Arial" w:eastAsia="Calibri" w:hAnsi="Arial" w:cs="Arial"/>
        </w:rPr>
        <w:t xml:space="preserve">Notes: </w:t>
      </w:r>
    </w:p>
    <w:p w:rsidR="00467A3E" w:rsidRPr="002E50D5" w:rsidRDefault="00467A3E" w:rsidP="002E50D5">
      <w:pPr>
        <w:pStyle w:val="NormalWeb"/>
        <w:numPr>
          <w:ilvl w:val="0"/>
          <w:numId w:val="10"/>
        </w:numPr>
        <w:spacing w:before="0" w:after="0"/>
        <w:ind w:left="720" w:hanging="450"/>
        <w:jc w:val="both"/>
        <w:rPr>
          <w:rFonts w:ascii="Arial" w:eastAsia="Calibri" w:hAnsi="Arial" w:cs="Arial"/>
        </w:rPr>
      </w:pPr>
      <w:r w:rsidRPr="002E50D5">
        <w:rPr>
          <w:rFonts w:ascii="Arial" w:eastAsia="Calibri" w:hAnsi="Arial" w:cs="Arial"/>
        </w:rPr>
        <w:t>The coverage of companies in different quarters varies, depending on the date of declaration of results; this is, however, not expected to significantly alter the aggregate position.</w:t>
      </w:r>
    </w:p>
    <w:p w:rsidR="00467A3E" w:rsidRPr="002E50D5" w:rsidRDefault="00467A3E" w:rsidP="002E50D5">
      <w:pPr>
        <w:pStyle w:val="NormalWeb"/>
        <w:numPr>
          <w:ilvl w:val="0"/>
          <w:numId w:val="10"/>
        </w:numPr>
        <w:spacing w:before="0" w:after="0"/>
        <w:ind w:left="720" w:hanging="450"/>
        <w:jc w:val="both"/>
        <w:rPr>
          <w:rFonts w:ascii="Arial" w:eastAsia="Calibri" w:hAnsi="Arial" w:cs="Arial"/>
        </w:rPr>
      </w:pPr>
      <w:r w:rsidRPr="002E50D5">
        <w:rPr>
          <w:rFonts w:ascii="Arial" w:eastAsia="Calibri" w:hAnsi="Arial" w:cs="Arial"/>
        </w:rPr>
        <w:t>Explanatory notes detailing the compilation methodology, and the glossary (including revised definitions and calculations that differ from previous releases) are appended.</w:t>
      </w:r>
    </w:p>
    <w:p w:rsidR="00467A3E" w:rsidRPr="00A77F5C" w:rsidRDefault="00467A3E" w:rsidP="002E50D5">
      <w:pPr>
        <w:pStyle w:val="NormalWeb"/>
        <w:spacing w:before="0" w:after="0"/>
        <w:jc w:val="both"/>
        <w:rPr>
          <w:rFonts w:ascii="Arial" w:eastAsia="Calibri" w:hAnsi="Arial" w:cs="Arial"/>
        </w:rPr>
      </w:pPr>
    </w:p>
    <w:p w:rsidR="00A77F5C" w:rsidRPr="00A77F5C" w:rsidRDefault="00A77F5C" w:rsidP="00A77F5C">
      <w:pPr>
        <w:pStyle w:val="NormalWeb"/>
        <w:spacing w:before="60" w:after="0"/>
        <w:jc w:val="both"/>
        <w:rPr>
          <w:rFonts w:ascii="Arial" w:eastAsia="Calibri" w:hAnsi="Arial" w:cs="Arial"/>
        </w:rPr>
      </w:pPr>
    </w:p>
    <w:p w:rsidR="00A77F5C" w:rsidRPr="00A77F5C" w:rsidRDefault="00A77F5C" w:rsidP="00A77F5C">
      <w:pPr>
        <w:pStyle w:val="NormalWeb"/>
        <w:spacing w:before="60" w:after="0"/>
        <w:jc w:val="both"/>
        <w:rPr>
          <w:rFonts w:ascii="Arial" w:eastAsia="Calibri" w:hAnsi="Arial" w:cs="Arial"/>
        </w:rPr>
      </w:pPr>
    </w:p>
    <w:p w:rsidR="00C021BA" w:rsidRPr="00A77F5C" w:rsidRDefault="00C021BA" w:rsidP="00C021BA">
      <w:pPr>
        <w:ind w:right="1"/>
        <w:rPr>
          <w:rFonts w:ascii="Arial" w:hAnsi="Arial" w:cs="Arial"/>
          <w:b/>
          <w:color w:val="000000"/>
        </w:rPr>
      </w:pPr>
    </w:p>
    <w:p w:rsidR="00C021BA" w:rsidRPr="00A77F5C" w:rsidRDefault="00C021BA" w:rsidP="00C021BA">
      <w:pPr>
        <w:ind w:right="1"/>
        <w:rPr>
          <w:rFonts w:ascii="Arial" w:hAnsi="Arial" w:cs="Arial"/>
          <w:b/>
          <w:color w:val="000000"/>
        </w:rPr>
      </w:pPr>
      <w:r w:rsidRPr="00A77F5C">
        <w:rPr>
          <w:rFonts w:ascii="Arial" w:hAnsi="Arial" w:cs="Arial"/>
          <w:b/>
          <w:color w:val="000000"/>
        </w:rPr>
        <w:t xml:space="preserve">                                              </w:t>
      </w:r>
    </w:p>
    <w:p w:rsidR="00C021BA" w:rsidRPr="00A77F5C" w:rsidRDefault="00C021BA" w:rsidP="00C021BA">
      <w:pPr>
        <w:ind w:right="1"/>
        <w:rPr>
          <w:rFonts w:ascii="Arial" w:hAnsi="Arial" w:cs="Arial"/>
          <w:b/>
          <w:color w:val="000000"/>
        </w:rPr>
      </w:pPr>
      <w:r w:rsidRPr="00A77F5C"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                   </w:t>
      </w:r>
      <w:r w:rsidR="001B2AFC">
        <w:rPr>
          <w:rFonts w:ascii="Arial" w:hAnsi="Arial" w:cs="Arial"/>
          <w:b/>
          <w:color w:val="000000"/>
        </w:rPr>
        <w:t xml:space="preserve">     </w:t>
      </w:r>
      <w:bookmarkStart w:id="0" w:name="_GoBack"/>
      <w:bookmarkEnd w:id="0"/>
      <w:r w:rsidRPr="00A77F5C">
        <w:rPr>
          <w:rFonts w:ascii="Arial" w:hAnsi="Arial" w:cs="Arial"/>
          <w:b/>
          <w:color w:val="000000"/>
        </w:rPr>
        <w:t>Ajit Prasad</w:t>
      </w:r>
    </w:p>
    <w:p w:rsidR="00C021BA" w:rsidRPr="00A77F5C" w:rsidRDefault="00C021BA" w:rsidP="00C021BA">
      <w:pPr>
        <w:ind w:right="1"/>
        <w:rPr>
          <w:rFonts w:ascii="Arial" w:hAnsi="Arial" w:cs="Arial"/>
          <w:b/>
          <w:color w:val="000000"/>
          <w:lang w:bidi="hi-IN"/>
        </w:rPr>
      </w:pPr>
      <w:r w:rsidRPr="00A77F5C">
        <w:rPr>
          <w:rFonts w:ascii="Arial" w:hAnsi="Arial" w:cs="Arial"/>
          <w:b/>
          <w:color w:val="000000"/>
        </w:rPr>
        <w:t>Press Release: 2020-2021/</w:t>
      </w:r>
      <w:r w:rsidR="001B2AFC">
        <w:rPr>
          <w:rFonts w:ascii="Arial" w:hAnsi="Arial" w:cs="Arial"/>
          <w:b/>
          <w:color w:val="000000"/>
        </w:rPr>
        <w:t>830</w:t>
      </w:r>
      <w:r w:rsidRPr="00A77F5C">
        <w:rPr>
          <w:rFonts w:ascii="Arial" w:hAnsi="Arial" w:cs="Arial"/>
          <w:b/>
          <w:color w:val="000000"/>
        </w:rPr>
        <w:t xml:space="preserve">                                                                  </w:t>
      </w:r>
      <w:r w:rsidR="00F759D4">
        <w:rPr>
          <w:rFonts w:ascii="Arial" w:hAnsi="Arial" w:cs="Arial"/>
          <w:b/>
          <w:color w:val="000000"/>
        </w:rPr>
        <w:t xml:space="preserve">       </w:t>
      </w:r>
      <w:r w:rsidRPr="00A77F5C">
        <w:rPr>
          <w:rFonts w:ascii="Arial" w:hAnsi="Arial" w:cs="Arial"/>
          <w:b/>
          <w:color w:val="000000"/>
        </w:rPr>
        <w:t xml:space="preserve"> </w:t>
      </w:r>
      <w:r w:rsidRPr="00A77F5C">
        <w:rPr>
          <w:rFonts w:ascii="Arial" w:eastAsia="Arial Unicode MS" w:hAnsi="Arial" w:cs="Arial"/>
          <w:bCs/>
          <w:color w:val="000000"/>
          <w:lang w:bidi="hi-IN"/>
        </w:rPr>
        <w:t>Director</w:t>
      </w:r>
      <w:r w:rsidRPr="00A77F5C">
        <w:rPr>
          <w:rFonts w:ascii="Arial" w:hAnsi="Arial" w:cs="Arial"/>
          <w:b/>
          <w:color w:val="000000"/>
        </w:rPr>
        <w:t xml:space="preserve">                     </w:t>
      </w:r>
    </w:p>
    <w:p w:rsidR="00C021BA" w:rsidRPr="00A77F5C" w:rsidRDefault="00C021BA" w:rsidP="00C021BA">
      <w:pPr>
        <w:spacing w:before="120" w:after="20"/>
        <w:ind w:left="3600" w:right="302" w:firstLine="720"/>
        <w:rPr>
          <w:rFonts w:ascii="Arial" w:hAnsi="Arial" w:cs="Arial"/>
          <w:b/>
          <w:color w:val="000000"/>
        </w:rPr>
      </w:pPr>
    </w:p>
    <w:p w:rsidR="00C021BA" w:rsidRPr="00A77F5C" w:rsidRDefault="00C021BA" w:rsidP="00C021BA">
      <w:pPr>
        <w:tabs>
          <w:tab w:val="center" w:pos="7416"/>
          <w:tab w:val="right" w:pos="9072"/>
        </w:tabs>
        <w:ind w:left="5040" w:right="1" w:firstLine="720"/>
        <w:jc w:val="right"/>
        <w:rPr>
          <w:rFonts w:ascii="Arial" w:eastAsia="MS Mincho" w:hAnsi="Arial" w:cs="Arial"/>
        </w:rPr>
      </w:pPr>
    </w:p>
    <w:p w:rsidR="00C021BA" w:rsidRPr="00A77F5C" w:rsidRDefault="00C021BA" w:rsidP="00C021BA">
      <w:pPr>
        <w:pStyle w:val="PlainText"/>
        <w:spacing w:line="276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81421C" w:rsidRDefault="0081421C"/>
    <w:sectPr w:rsidR="0081421C" w:rsidSect="00100DEE">
      <w:headerReference w:type="default" r:id="rId10"/>
      <w:pgSz w:w="11909" w:h="16834" w:code="9"/>
      <w:pgMar w:top="993" w:right="994" w:bottom="1418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6C0" w:rsidRDefault="009856C0">
      <w:r>
        <w:separator/>
      </w:r>
    </w:p>
  </w:endnote>
  <w:endnote w:type="continuationSeparator" w:id="0">
    <w:p w:rsidR="009856C0" w:rsidRDefault="0098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6C0" w:rsidRDefault="009856C0">
      <w:r>
        <w:separator/>
      </w:r>
    </w:p>
  </w:footnote>
  <w:footnote w:type="continuationSeparator" w:id="0">
    <w:p w:rsidR="009856C0" w:rsidRDefault="009856C0">
      <w:r>
        <w:continuationSeparator/>
      </w:r>
    </w:p>
  </w:footnote>
  <w:footnote w:id="1">
    <w:p w:rsidR="00A77F5C" w:rsidRPr="00567986" w:rsidRDefault="00A77F5C" w:rsidP="00A77F5C">
      <w:pPr>
        <w:pStyle w:val="FootnoteText"/>
        <w:tabs>
          <w:tab w:val="left" w:pos="360"/>
        </w:tabs>
        <w:ind w:left="360" w:hanging="360"/>
        <w:jc w:val="both"/>
        <w:rPr>
          <w:rFonts w:ascii="Arial" w:eastAsia="Calibri" w:hAnsi="Arial" w:cs="Arial"/>
          <w:color w:val="000000"/>
          <w:sz w:val="18"/>
          <w:szCs w:val="18"/>
          <w:u w:color="000000"/>
          <w:lang w:val="en-IN" w:eastAsia="en-IN" w:bidi="hi-IN"/>
        </w:rPr>
      </w:pPr>
      <w:r w:rsidRPr="00567986">
        <w:rPr>
          <w:rStyle w:val="FootnoteReference"/>
          <w:rFonts w:ascii="Arial" w:hAnsi="Arial" w:cs="Arial"/>
          <w:sz w:val="18"/>
          <w:szCs w:val="18"/>
        </w:rPr>
        <w:footnoteRef/>
      </w:r>
      <w:r w:rsidRPr="00567986">
        <w:rPr>
          <w:rStyle w:val="FootnoteReference"/>
          <w:rFonts w:ascii="Arial" w:hAnsi="Arial" w:cs="Arial"/>
          <w:sz w:val="18"/>
          <w:szCs w:val="18"/>
        </w:rPr>
        <w:t xml:space="preserve"> </w:t>
      </w:r>
      <w:r w:rsidRPr="00567986">
        <w:rPr>
          <w:rStyle w:val="FootnoteReference"/>
          <w:rFonts w:ascii="Arial" w:hAnsi="Arial" w:cs="Arial"/>
          <w:sz w:val="18"/>
          <w:szCs w:val="18"/>
        </w:rPr>
        <w:tab/>
      </w:r>
      <w:r w:rsidRPr="00567986">
        <w:rPr>
          <w:rFonts w:ascii="Arial" w:eastAsia="Calibri" w:hAnsi="Arial" w:cs="Arial"/>
          <w:color w:val="000000"/>
          <w:sz w:val="18"/>
          <w:szCs w:val="18"/>
          <w:u w:color="000000"/>
          <w:lang w:val="en-IN" w:eastAsia="en-IN" w:bidi="hi-IN"/>
        </w:rPr>
        <w:t>ICR (</w:t>
      </w:r>
      <w:r w:rsidRPr="00567986">
        <w:rPr>
          <w:rFonts w:ascii="Arial" w:eastAsia="Calibri" w:hAnsi="Arial" w:cs="Arial"/>
          <w:i/>
          <w:iCs/>
          <w:color w:val="000000"/>
          <w:sz w:val="18"/>
          <w:szCs w:val="18"/>
          <w:u w:color="000000"/>
          <w:lang w:val="en-IN" w:eastAsia="en-IN" w:bidi="hi-IN"/>
        </w:rPr>
        <w:t>i.e.</w:t>
      </w:r>
      <w:r w:rsidRPr="00567986">
        <w:rPr>
          <w:rFonts w:ascii="Arial" w:eastAsia="Calibri" w:hAnsi="Arial" w:cs="Arial"/>
          <w:color w:val="000000"/>
          <w:sz w:val="18"/>
          <w:szCs w:val="18"/>
          <w:u w:color="000000"/>
          <w:lang w:val="en-IN" w:eastAsia="en-IN" w:bidi="hi-IN"/>
        </w:rPr>
        <w:t>, ratio of earnings before interest and tax to interest expenses) is a measure of debt servicing capacity of a company. The minimum value for a viable ICR is 1.</w:t>
      </w:r>
    </w:p>
    <w:p w:rsidR="00A77F5C" w:rsidRPr="001B4CB1" w:rsidRDefault="00A77F5C" w:rsidP="00A77F5C">
      <w:pPr>
        <w:pStyle w:val="FootnoteText"/>
        <w:tabs>
          <w:tab w:val="left" w:pos="360"/>
        </w:tabs>
        <w:ind w:left="360" w:hanging="360"/>
        <w:jc w:val="both"/>
        <w:rPr>
          <w:rFonts w:ascii="Arial" w:hAnsi="Arial" w:cs="Arial"/>
          <w:lang w:val="en-I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065" w:rsidRDefault="00A009CB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2AFC">
      <w:rPr>
        <w:noProof/>
      </w:rPr>
      <w:t>2</w:t>
    </w:r>
    <w:r>
      <w:fldChar w:fldCharType="end"/>
    </w:r>
  </w:p>
  <w:p w:rsidR="00E87065" w:rsidRDefault="009856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34635"/>
    <w:multiLevelType w:val="hybridMultilevel"/>
    <w:tmpl w:val="2CBC8FA2"/>
    <w:styleLink w:val="ImportedStyle8"/>
    <w:lvl w:ilvl="0" w:tplc="C2CC7DCC">
      <w:start w:val="1"/>
      <w:numFmt w:val="bullet"/>
      <w:lvlText w:val="•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6006EA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64E166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0CE83A">
      <w:start w:val="1"/>
      <w:numFmt w:val="bullet"/>
      <w:lvlText w:val="•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709D4E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30A73C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F63D50">
      <w:start w:val="1"/>
      <w:numFmt w:val="bullet"/>
      <w:lvlText w:val="•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30D116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BAA704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B5C444A"/>
    <w:multiLevelType w:val="hybridMultilevel"/>
    <w:tmpl w:val="45E28314"/>
    <w:numStyleLink w:val="ImportedStyle3"/>
  </w:abstractNum>
  <w:abstractNum w:abstractNumId="2">
    <w:nsid w:val="1FA000C1"/>
    <w:multiLevelType w:val="hybridMultilevel"/>
    <w:tmpl w:val="45E28314"/>
    <w:styleLink w:val="ImportedStyle3"/>
    <w:lvl w:ilvl="0" w:tplc="1EB6883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D2D5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0834C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1818D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2429C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2C13C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6458C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6AD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14D69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FB047BD"/>
    <w:multiLevelType w:val="hybridMultilevel"/>
    <w:tmpl w:val="A768B554"/>
    <w:styleLink w:val="ImportedStyle5"/>
    <w:lvl w:ilvl="0" w:tplc="10726B3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3028D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3E116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24AF1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4CA28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503B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A65B0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5415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28274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05762D2"/>
    <w:multiLevelType w:val="hybridMultilevel"/>
    <w:tmpl w:val="AF4225DA"/>
    <w:styleLink w:val="ImportedStyle2"/>
    <w:lvl w:ilvl="0" w:tplc="9702901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D4F71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1230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5249C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08B9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66665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20EFC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AA74B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2E23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39E71909"/>
    <w:multiLevelType w:val="hybridMultilevel"/>
    <w:tmpl w:val="2CBC8FA2"/>
    <w:numStyleLink w:val="ImportedStyle8"/>
  </w:abstractNum>
  <w:abstractNum w:abstractNumId="6">
    <w:nsid w:val="47B94AF8"/>
    <w:multiLevelType w:val="hybridMultilevel"/>
    <w:tmpl w:val="A768B554"/>
    <w:numStyleLink w:val="ImportedStyle5"/>
  </w:abstractNum>
  <w:abstractNum w:abstractNumId="7">
    <w:nsid w:val="69CA3E66"/>
    <w:multiLevelType w:val="hybridMultilevel"/>
    <w:tmpl w:val="AF4225DA"/>
    <w:numStyleLink w:val="ImportedStyle2"/>
  </w:abstractNum>
  <w:abstractNum w:abstractNumId="8">
    <w:nsid w:val="76DA5E48"/>
    <w:multiLevelType w:val="hybridMultilevel"/>
    <w:tmpl w:val="179C237E"/>
    <w:numStyleLink w:val="ImportedStyle7"/>
  </w:abstractNum>
  <w:abstractNum w:abstractNumId="9">
    <w:nsid w:val="7D987123"/>
    <w:multiLevelType w:val="hybridMultilevel"/>
    <w:tmpl w:val="179C237E"/>
    <w:styleLink w:val="ImportedStyle7"/>
    <w:lvl w:ilvl="0" w:tplc="FD70744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54957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50EF0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F83DF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52F29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8241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9680A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80972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CEDA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9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1BA"/>
    <w:rsid w:val="0005005C"/>
    <w:rsid w:val="000605DC"/>
    <w:rsid w:val="000964D1"/>
    <w:rsid w:val="000F3F6E"/>
    <w:rsid w:val="001A2AB0"/>
    <w:rsid w:val="001B2AFC"/>
    <w:rsid w:val="002024CB"/>
    <w:rsid w:val="002E3CA3"/>
    <w:rsid w:val="002E50D5"/>
    <w:rsid w:val="00467A3E"/>
    <w:rsid w:val="004C7171"/>
    <w:rsid w:val="004D1D21"/>
    <w:rsid w:val="005645C3"/>
    <w:rsid w:val="0081421C"/>
    <w:rsid w:val="009200CA"/>
    <w:rsid w:val="00952A67"/>
    <w:rsid w:val="009856C0"/>
    <w:rsid w:val="009A0C07"/>
    <w:rsid w:val="00A009CB"/>
    <w:rsid w:val="00A31F8D"/>
    <w:rsid w:val="00A61715"/>
    <w:rsid w:val="00A669C1"/>
    <w:rsid w:val="00A77F5C"/>
    <w:rsid w:val="00A949FE"/>
    <w:rsid w:val="00C021BA"/>
    <w:rsid w:val="00C97E0D"/>
    <w:rsid w:val="00D35237"/>
    <w:rsid w:val="00D95E61"/>
    <w:rsid w:val="00DD6F4B"/>
    <w:rsid w:val="00E44130"/>
    <w:rsid w:val="00EE5AA5"/>
    <w:rsid w:val="00F72B0E"/>
    <w:rsid w:val="00F759D4"/>
    <w:rsid w:val="00FD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1E7680-8CBC-493B-91AD-9C4617B7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C021BA"/>
    <w:pPr>
      <w:keepNext/>
      <w:jc w:val="center"/>
      <w:outlineLvl w:val="0"/>
    </w:pPr>
    <w:rPr>
      <w:rFonts w:ascii="Arial" w:hAnsi="Arial"/>
      <w:b/>
      <w:sz w:val="16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F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21BA"/>
    <w:rPr>
      <w:rFonts w:ascii="Arial" w:eastAsia="Times New Roman" w:hAnsi="Arial" w:cs="Times New Roman"/>
      <w:b/>
      <w:sz w:val="16"/>
      <w:szCs w:val="20"/>
      <w:lang w:bidi="ar-SA"/>
    </w:rPr>
  </w:style>
  <w:style w:type="character" w:styleId="Hyperlink">
    <w:name w:val="Hyperlink"/>
    <w:rsid w:val="00C021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021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1BA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uiPriority w:val="1"/>
    <w:qFormat/>
    <w:rsid w:val="00C02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lainText">
    <w:name w:val="Plain Text"/>
    <w:basedOn w:val="Normal"/>
    <w:link w:val="PlainTextChar"/>
    <w:rsid w:val="00C021BA"/>
    <w:rPr>
      <w:rFonts w:ascii="Courier New" w:hAnsi="Courier New" w:cs="Mangal"/>
      <w:sz w:val="20"/>
      <w:szCs w:val="20"/>
      <w:lang w:bidi="hi-IN"/>
    </w:rPr>
  </w:style>
  <w:style w:type="character" w:customStyle="1" w:styleId="PlainTextChar">
    <w:name w:val="Plain Text Char"/>
    <w:basedOn w:val="DefaultParagraphFont"/>
    <w:link w:val="PlainText"/>
    <w:rsid w:val="00C021BA"/>
    <w:rPr>
      <w:rFonts w:ascii="Courier New" w:eastAsia="Times New Roman" w:hAnsi="Courier New" w:cs="Mangal"/>
      <w:sz w:val="20"/>
      <w:szCs w:val="20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1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1BA"/>
    <w:rPr>
      <w:rFonts w:ascii="Tahoma" w:eastAsia="Times New Roman" w:hAnsi="Tahoma" w:cs="Tahoma"/>
      <w:sz w:val="16"/>
      <w:szCs w:val="16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F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ar-SA"/>
    </w:rPr>
  </w:style>
  <w:style w:type="paragraph" w:customStyle="1" w:styleId="Body">
    <w:name w:val="Body"/>
    <w:rsid w:val="00A77F5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Cs w:val="22"/>
      <w:u w:color="000000"/>
      <w:bdr w:val="nil"/>
      <w:lang w:eastAsia="en-IN" w:bidi="hi-IN"/>
    </w:rPr>
  </w:style>
  <w:style w:type="paragraph" w:styleId="NormalWeb">
    <w:name w:val="Normal (Web)"/>
    <w:rsid w:val="00A77F5C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IN" w:bidi="hi-IN"/>
    </w:rPr>
  </w:style>
  <w:style w:type="character" w:customStyle="1" w:styleId="Hyperlink0">
    <w:name w:val="Hyperlink.0"/>
    <w:basedOn w:val="DefaultParagraphFont"/>
    <w:rsid w:val="00A77F5C"/>
    <w:rPr>
      <w:rFonts w:ascii="Calibri" w:eastAsia="Calibri" w:hAnsi="Calibri" w:cs="Calibri"/>
      <w:color w:val="0563C1"/>
      <w:sz w:val="22"/>
      <w:szCs w:val="22"/>
      <w:u w:val="single" w:color="0563C1"/>
      <w:shd w:val="clear" w:color="auto" w:fill="FFFFFF"/>
    </w:rPr>
  </w:style>
  <w:style w:type="numbering" w:customStyle="1" w:styleId="ImportedStyle2">
    <w:name w:val="Imported Style 2"/>
    <w:rsid w:val="00A77F5C"/>
    <w:pPr>
      <w:numPr>
        <w:numId w:val="1"/>
      </w:numPr>
    </w:pPr>
  </w:style>
  <w:style w:type="numbering" w:customStyle="1" w:styleId="ImportedStyle3">
    <w:name w:val="Imported Style 3"/>
    <w:rsid w:val="00A77F5C"/>
    <w:pPr>
      <w:numPr>
        <w:numId w:val="3"/>
      </w:numPr>
    </w:pPr>
  </w:style>
  <w:style w:type="paragraph" w:styleId="ListParagraph">
    <w:name w:val="List Paragraph"/>
    <w:uiPriority w:val="34"/>
    <w:qFormat/>
    <w:rsid w:val="00A77F5C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szCs w:val="22"/>
      <w:u w:color="000000"/>
      <w:bdr w:val="nil"/>
      <w:lang w:eastAsia="en-IN" w:bidi="hi-IN"/>
    </w:rPr>
  </w:style>
  <w:style w:type="numbering" w:customStyle="1" w:styleId="ImportedStyle5">
    <w:name w:val="Imported Style 5"/>
    <w:rsid w:val="00A77F5C"/>
    <w:pPr>
      <w:numPr>
        <w:numId w:val="5"/>
      </w:numPr>
    </w:pPr>
  </w:style>
  <w:style w:type="numbering" w:customStyle="1" w:styleId="ImportedStyle7">
    <w:name w:val="Imported Style 7"/>
    <w:rsid w:val="00A77F5C"/>
    <w:pPr>
      <w:numPr>
        <w:numId w:val="7"/>
      </w:numPr>
    </w:pPr>
  </w:style>
  <w:style w:type="numbering" w:customStyle="1" w:styleId="ImportedStyle8">
    <w:name w:val="Imported Style 8"/>
    <w:rsid w:val="00A77F5C"/>
    <w:pPr>
      <w:numPr>
        <w:numId w:val="9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77F5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7F5C"/>
    <w:rPr>
      <w:rFonts w:ascii="Times New Roman" w:eastAsia="Arial Unicode MS" w:hAnsi="Times New Roman" w:cs="Times New Roman"/>
      <w:sz w:val="20"/>
      <w:szCs w:val="20"/>
      <w:bdr w:val="nil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A77F5C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4C7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171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oc@rbi.org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bie.rbi.org.in/DBIE/dbie.rbi?site=statist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darshna naik</dc:creator>
  <cp:lastModifiedBy>RBIWebsite Support, Tiwari</cp:lastModifiedBy>
  <cp:revision>13</cp:revision>
  <cp:lastPrinted>2020-12-24T10:46:00Z</cp:lastPrinted>
  <dcterms:created xsi:type="dcterms:W3CDTF">2020-12-24T10:47:00Z</dcterms:created>
  <dcterms:modified xsi:type="dcterms:W3CDTF">2020-12-24T12:06:00Z</dcterms:modified>
</cp:coreProperties>
</file>