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51603874" w:rsidR="00121757" w:rsidRPr="00DB19FE" w:rsidRDefault="00AC4589" w:rsidP="00E40312">
      <w:pPr>
        <w:pStyle w:val="Title"/>
        <w:spacing w:line="240" w:lineRule="auto"/>
        <w:ind w:firstLine="360"/>
        <w:jc w:val="both"/>
        <w:rPr>
          <w:sz w:val="36"/>
          <w:szCs w:val="36"/>
        </w:rPr>
      </w:pPr>
      <w:r w:rsidRPr="00DB19FE">
        <w:rPr>
          <w:sz w:val="36"/>
          <w:szCs w:val="36"/>
        </w:rPr>
        <w:t xml:space="preserve">Monthly </w:t>
      </w:r>
      <w:r w:rsidR="00425C72" w:rsidRPr="00DB19FE">
        <w:rPr>
          <w:sz w:val="36"/>
          <w:szCs w:val="36"/>
        </w:rPr>
        <w:t>P</w:t>
      </w:r>
      <w:r w:rsidRPr="00DB19FE">
        <w:rPr>
          <w:sz w:val="36"/>
          <w:szCs w:val="36"/>
        </w:rPr>
        <w:t xml:space="preserve">ayment </w:t>
      </w:r>
      <w:r w:rsidR="00425C72" w:rsidRPr="00DB19FE">
        <w:rPr>
          <w:sz w:val="36"/>
          <w:szCs w:val="36"/>
        </w:rPr>
        <w:t>S</w:t>
      </w:r>
      <w:r w:rsidRPr="00DB19FE">
        <w:rPr>
          <w:sz w:val="36"/>
          <w:szCs w:val="36"/>
        </w:rPr>
        <w:t xml:space="preserve">ystem </w:t>
      </w:r>
      <w:r w:rsidR="00425C72" w:rsidRPr="00DB19FE">
        <w:rPr>
          <w:sz w:val="36"/>
          <w:szCs w:val="36"/>
        </w:rPr>
        <w:t xml:space="preserve">Indicators </w:t>
      </w:r>
      <w:r w:rsidR="00DB19FE">
        <w:rPr>
          <w:sz w:val="36"/>
          <w:szCs w:val="36"/>
        </w:rPr>
        <w:t xml:space="preserve">- </w:t>
      </w:r>
      <w:r w:rsidR="00681231">
        <w:rPr>
          <w:sz w:val="36"/>
          <w:szCs w:val="36"/>
        </w:rPr>
        <w:t>April</w:t>
      </w:r>
      <w:r w:rsidR="00FE5522" w:rsidRPr="00DB19FE">
        <w:rPr>
          <w:sz w:val="36"/>
          <w:szCs w:val="36"/>
        </w:rPr>
        <w:t xml:space="preserve"> 2023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4060404F" w:rsidR="00121757" w:rsidRDefault="0068123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78FFABA" wp14:editId="1DE63B5B">
            <wp:extent cx="5751394" cy="3019425"/>
            <wp:effectExtent l="76200" t="76200" r="78105" b="123825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30" cy="3022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</w:p>
    <w:p w14:paraId="1A2E001C" w14:textId="2B409990" w:rsidR="000F6DA6" w:rsidRDefault="00425C72" w:rsidP="00A45E69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sz w:val="16"/>
          <w:szCs w:val="16"/>
        </w:rPr>
        <w:t xml:space="preserve">: </w:t>
      </w:r>
      <w:r w:rsidRPr="001B264F">
        <w:rPr>
          <w:i/>
          <w:iCs/>
          <w:sz w:val="16"/>
          <w:szCs w:val="16"/>
        </w:rPr>
        <w:t>Digital payment</w:t>
      </w:r>
      <w:r w:rsidR="00F7586A" w:rsidRPr="001B264F">
        <w:rPr>
          <w:i/>
          <w:iCs/>
          <w:sz w:val="16"/>
          <w:szCs w:val="16"/>
        </w:rPr>
        <w:t>s</w:t>
      </w:r>
      <w:r w:rsidRPr="001B264F">
        <w:rPr>
          <w:i/>
          <w:iCs/>
          <w:sz w:val="16"/>
          <w:szCs w:val="16"/>
        </w:rPr>
        <w:t xml:space="preserve"> include RTGS (customer and inter</w:t>
      </w:r>
      <w:r w:rsidR="00F7586A" w:rsidRPr="001B264F">
        <w:rPr>
          <w:i/>
          <w:iCs/>
          <w:sz w:val="16"/>
          <w:szCs w:val="16"/>
        </w:rPr>
        <w:t>-</w:t>
      </w:r>
      <w:r w:rsidRPr="001B264F">
        <w:rPr>
          <w:i/>
          <w:iCs/>
          <w:sz w:val="16"/>
          <w:szCs w:val="16"/>
        </w:rPr>
        <w:t>bank transactions), retail electronic clearing – NEFT, IMPS, NACH</w:t>
      </w:r>
      <w:r w:rsidR="00354F17" w:rsidRPr="001B264F">
        <w:rPr>
          <w:i/>
          <w:iCs/>
          <w:sz w:val="16"/>
          <w:szCs w:val="16"/>
        </w:rPr>
        <w:t xml:space="preserve"> (credit, debit and APBS)</w:t>
      </w:r>
      <w:r w:rsidRPr="001B264F">
        <w:rPr>
          <w:i/>
          <w:iCs/>
          <w:sz w:val="16"/>
          <w:szCs w:val="16"/>
        </w:rPr>
        <w:t>, card</w:t>
      </w:r>
      <w:r w:rsidR="00E947D8" w:rsidRPr="001B264F">
        <w:rPr>
          <w:i/>
          <w:iCs/>
          <w:sz w:val="16"/>
          <w:szCs w:val="16"/>
        </w:rPr>
        <w:t xml:space="preserve"> payment</w:t>
      </w:r>
      <w:r w:rsidRPr="001B264F">
        <w:rPr>
          <w:i/>
          <w:iCs/>
          <w:sz w:val="16"/>
          <w:szCs w:val="16"/>
        </w:rPr>
        <w:t xml:space="preserve"> transactions (excl. cash withdrawal), PPI </w:t>
      </w:r>
      <w:r w:rsidR="00E947D8" w:rsidRPr="001B264F">
        <w:rPr>
          <w:i/>
          <w:iCs/>
          <w:sz w:val="16"/>
          <w:szCs w:val="16"/>
        </w:rPr>
        <w:t xml:space="preserve">payment </w:t>
      </w:r>
      <w:r w:rsidRPr="001B264F">
        <w:rPr>
          <w:i/>
          <w:iCs/>
          <w:sz w:val="16"/>
          <w:szCs w:val="16"/>
        </w:rPr>
        <w:t>transactions</w:t>
      </w:r>
      <w:r w:rsidR="00354F17" w:rsidRPr="001B264F">
        <w:rPr>
          <w:i/>
          <w:iCs/>
          <w:sz w:val="16"/>
          <w:szCs w:val="16"/>
        </w:rPr>
        <w:t xml:space="preserve"> (excl. cash withdrawal)</w:t>
      </w:r>
      <w:r w:rsidRPr="001B264F">
        <w:rPr>
          <w:i/>
          <w:iCs/>
          <w:sz w:val="16"/>
          <w:szCs w:val="16"/>
        </w:rPr>
        <w:t xml:space="preserve">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</w:t>
      </w:r>
      <w:r w:rsidR="00F7586A" w:rsidRPr="001B264F">
        <w:rPr>
          <w:i/>
          <w:iCs/>
          <w:sz w:val="16"/>
          <w:szCs w:val="16"/>
        </w:rPr>
        <w:t xml:space="preserve"> and</w:t>
      </w:r>
      <w:r w:rsidRPr="001B264F">
        <w:rPr>
          <w:i/>
          <w:iCs/>
          <w:sz w:val="16"/>
          <w:szCs w:val="16"/>
        </w:rPr>
        <w:t xml:space="preserve"> NETC</w:t>
      </w:r>
      <w:r w:rsidR="00354F17" w:rsidRPr="001B264F">
        <w:rPr>
          <w:i/>
          <w:iCs/>
          <w:sz w:val="16"/>
          <w:szCs w:val="16"/>
        </w:rPr>
        <w:t xml:space="preserve"> (linked to bank accounts)</w:t>
      </w:r>
      <w:r w:rsidRPr="001B264F">
        <w:rPr>
          <w:i/>
          <w:iCs/>
          <w:sz w:val="16"/>
          <w:szCs w:val="16"/>
        </w:rPr>
        <w:t>.</w:t>
      </w:r>
    </w:p>
    <w:p w14:paraId="684FF3A4" w14:textId="77777777" w:rsidR="00A45E69" w:rsidRPr="00A45E69" w:rsidRDefault="00A45E69" w:rsidP="00A45E69">
      <w:pPr>
        <w:pStyle w:val="BodyText"/>
        <w:rPr>
          <w:sz w:val="2"/>
          <w:szCs w:val="2"/>
        </w:rPr>
      </w:pPr>
    </w:p>
    <w:p w14:paraId="70D905EC" w14:textId="2ABB04D7" w:rsidR="00121757" w:rsidRDefault="006B44C0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>Total</w:t>
      </w:r>
      <w:r w:rsidR="00AC4589">
        <w:t xml:space="preserve"> </w:t>
      </w:r>
      <w:r w:rsidR="00425C72">
        <w:t>P</w:t>
      </w:r>
      <w:r w:rsidR="00AC4589"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5C8E47C9" w:rsidR="00121757" w:rsidRDefault="0068123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C8D5116" wp14:editId="3642008F">
            <wp:extent cx="5812961" cy="2724235"/>
            <wp:effectExtent l="95250" t="95250" r="111760" b="114300"/>
            <wp:docPr id="16173178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06" cy="2732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14:paraId="652CB33D" w14:textId="4E5A6AD8" w:rsidR="00425C72" w:rsidRPr="001B264F" w:rsidRDefault="00425C72" w:rsidP="000F6DA6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="006B44C0" w:rsidRPr="001B264F">
        <w:rPr>
          <w:i/>
          <w:iCs/>
          <w:sz w:val="16"/>
          <w:szCs w:val="16"/>
        </w:rPr>
        <w:t>Total</w:t>
      </w:r>
      <w:r w:rsidRPr="001B264F">
        <w:rPr>
          <w:i/>
          <w:iCs/>
          <w:sz w:val="16"/>
          <w:szCs w:val="16"/>
        </w:rPr>
        <w:t xml:space="preserve"> payments include </w:t>
      </w:r>
      <w:r w:rsidR="006B44C0" w:rsidRPr="001B264F">
        <w:rPr>
          <w:i/>
          <w:iCs/>
          <w:sz w:val="16"/>
          <w:szCs w:val="16"/>
        </w:rPr>
        <w:t xml:space="preserve">RTGS, </w:t>
      </w:r>
      <w:r w:rsidRPr="001B264F">
        <w:rPr>
          <w:i/>
          <w:iCs/>
          <w:sz w:val="16"/>
          <w:szCs w:val="16"/>
        </w:rPr>
        <w:t>NEFT, IMPS, NACH</w:t>
      </w:r>
      <w:r w:rsidR="00354F17" w:rsidRPr="001B264F">
        <w:rPr>
          <w:i/>
          <w:iCs/>
          <w:sz w:val="16"/>
          <w:szCs w:val="16"/>
        </w:rPr>
        <w:t xml:space="preserve"> (credit, debit and APBS)</w:t>
      </w:r>
      <w:r w:rsidRPr="001B264F">
        <w:rPr>
          <w:i/>
          <w:iCs/>
          <w:sz w:val="16"/>
          <w:szCs w:val="16"/>
        </w:rPr>
        <w:t xml:space="preserve">, card </w:t>
      </w:r>
      <w:r w:rsidR="00E947D8" w:rsidRPr="001B264F">
        <w:rPr>
          <w:i/>
          <w:iCs/>
          <w:sz w:val="16"/>
          <w:szCs w:val="16"/>
        </w:rPr>
        <w:t xml:space="preserve">payment </w:t>
      </w:r>
      <w:r w:rsidRPr="001B264F">
        <w:rPr>
          <w:i/>
          <w:iCs/>
          <w:sz w:val="16"/>
          <w:szCs w:val="16"/>
        </w:rPr>
        <w:t xml:space="preserve">transactions (excl. cash withdrawal), PPI </w:t>
      </w:r>
      <w:r w:rsidR="00E947D8" w:rsidRPr="001B264F">
        <w:rPr>
          <w:i/>
          <w:iCs/>
          <w:sz w:val="16"/>
          <w:szCs w:val="16"/>
        </w:rPr>
        <w:t xml:space="preserve">payment </w:t>
      </w:r>
      <w:r w:rsidRPr="001B264F">
        <w:rPr>
          <w:i/>
          <w:iCs/>
          <w:sz w:val="16"/>
          <w:szCs w:val="16"/>
        </w:rPr>
        <w:t>transactions</w:t>
      </w:r>
      <w:r w:rsidR="00354F17" w:rsidRPr="001B264F">
        <w:rPr>
          <w:i/>
          <w:iCs/>
          <w:sz w:val="16"/>
          <w:szCs w:val="16"/>
        </w:rPr>
        <w:t xml:space="preserve"> (excl. cash withdrawal)</w:t>
      </w:r>
      <w:r w:rsidRPr="001B264F">
        <w:rPr>
          <w:i/>
          <w:iCs/>
          <w:sz w:val="16"/>
          <w:szCs w:val="16"/>
        </w:rPr>
        <w:t xml:space="preserve">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</w:t>
      </w:r>
      <w:r w:rsidR="00AE2ACF" w:rsidRPr="001B264F">
        <w:rPr>
          <w:i/>
          <w:iCs/>
          <w:sz w:val="16"/>
          <w:szCs w:val="16"/>
        </w:rPr>
        <w:t xml:space="preserve">, </w:t>
      </w:r>
      <w:r w:rsidRPr="001B264F">
        <w:rPr>
          <w:i/>
          <w:iCs/>
          <w:sz w:val="16"/>
          <w:szCs w:val="16"/>
        </w:rPr>
        <w:t>NETC</w:t>
      </w:r>
      <w:r w:rsidR="00354F17" w:rsidRPr="001B264F">
        <w:rPr>
          <w:i/>
          <w:iCs/>
          <w:sz w:val="16"/>
          <w:szCs w:val="16"/>
        </w:rPr>
        <w:t xml:space="preserve"> (linked to bank accounts)</w:t>
      </w:r>
      <w:r w:rsidRPr="001B264F">
        <w:rPr>
          <w:i/>
          <w:iCs/>
          <w:sz w:val="16"/>
          <w:szCs w:val="16"/>
        </w:rPr>
        <w:t xml:space="preserve"> and </w:t>
      </w:r>
      <w:r w:rsidR="00F7586A" w:rsidRPr="001B264F">
        <w:rPr>
          <w:i/>
          <w:iCs/>
          <w:sz w:val="16"/>
          <w:szCs w:val="16"/>
        </w:rPr>
        <w:t>p</w:t>
      </w:r>
      <w:r w:rsidRPr="001B264F">
        <w:rPr>
          <w:i/>
          <w:iCs/>
          <w:sz w:val="16"/>
          <w:szCs w:val="16"/>
        </w:rPr>
        <w:t xml:space="preserve">aper clearing. </w:t>
      </w:r>
    </w:p>
    <w:p w14:paraId="3FC15FA6" w14:textId="742FA852" w:rsidR="006B44C0" w:rsidRDefault="006B44C0" w:rsidP="00D471AE">
      <w:pPr>
        <w:pStyle w:val="Heading1"/>
        <w:numPr>
          <w:ilvl w:val="0"/>
          <w:numId w:val="2"/>
        </w:numPr>
        <w:spacing w:before="0" w:line="360" w:lineRule="auto"/>
        <w:jc w:val="both"/>
        <w:rPr>
          <w:rFonts w:eastAsiaTheme="majorEastAsia"/>
        </w:rPr>
      </w:pPr>
      <w:r>
        <w:rPr>
          <w:rFonts w:eastAsiaTheme="majorEastAsia"/>
        </w:rPr>
        <w:lastRenderedPageBreak/>
        <w:t xml:space="preserve">Total </w:t>
      </w:r>
      <w:r w:rsidRPr="00D471AE">
        <w:t>Retail</w:t>
      </w:r>
      <w:r w:rsidRPr="006B44C0">
        <w:rPr>
          <w:rFonts w:eastAsiaTheme="majorEastAsia"/>
        </w:rPr>
        <w:t xml:space="preserve"> </w:t>
      </w:r>
      <w:r>
        <w:rPr>
          <w:rFonts w:eastAsiaTheme="majorEastAsia"/>
        </w:rPr>
        <w:t>P</w:t>
      </w:r>
      <w:r w:rsidRPr="006B44C0">
        <w:rPr>
          <w:rFonts w:eastAsiaTheme="majorEastAsia"/>
        </w:rPr>
        <w:t>ayments</w:t>
      </w:r>
      <w:r>
        <w:rPr>
          <w:rFonts w:eastAsiaTheme="majorEastAsia"/>
        </w:rPr>
        <w:t xml:space="preserve"> </w:t>
      </w:r>
      <w:r w:rsidRPr="006B44C0">
        <w:rPr>
          <w:rFonts w:eastAsiaTheme="majorEastAsia"/>
        </w:rPr>
        <w:t>– Volume and Value</w:t>
      </w:r>
    </w:p>
    <w:p w14:paraId="6359410E" w14:textId="1A1A9728" w:rsidR="00AE2ACF" w:rsidRDefault="00681231" w:rsidP="00AE2ACF">
      <w:pPr>
        <w:pStyle w:val="BodyText"/>
        <w:rPr>
          <w:rFonts w:asciiTheme="majorHAnsi" w:eastAsiaTheme="majorEastAsia" w:hAnsiTheme="majorHAnsi" w:cstheme="majorBidi"/>
          <w:b/>
          <w:bCs/>
          <w:color w:val="2E4396" w:themeColor="accent1" w:themeShade="B5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09258751" wp14:editId="37AB7238">
            <wp:extent cx="5697855" cy="3101786"/>
            <wp:effectExtent l="76200" t="76200" r="112395" b="118110"/>
            <wp:docPr id="14711833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14" cy="3103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CEC74A" w14:textId="6A6A9923" w:rsidR="00AE2ACF" w:rsidRPr="001B264F" w:rsidRDefault="00AE2ACF" w:rsidP="00AE2ACF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Total retail payments include NEFT, IMPS, NACH (credit, debit and APBS), card payment transactions (excl. cash withdrawal), PPI payment transactions (excl. cash withdrawal),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transfer, NETC (linked to bank accounts) and paper clearing. </w:t>
      </w:r>
    </w:p>
    <w:p w14:paraId="1681C888" w14:textId="77777777" w:rsidR="00E87154" w:rsidRPr="00E87154" w:rsidRDefault="00E87154" w:rsidP="00E87154">
      <w:pPr>
        <w:pStyle w:val="BodyText"/>
        <w:rPr>
          <w:sz w:val="2"/>
          <w:szCs w:val="2"/>
        </w:rPr>
      </w:pPr>
    </w:p>
    <w:p w14:paraId="2AD94023" w14:textId="6EFE8CD6" w:rsidR="00AE2ACF" w:rsidRPr="00AE2ACF" w:rsidRDefault="00AE2ACF" w:rsidP="00D471AE">
      <w:pPr>
        <w:pStyle w:val="Heading1"/>
        <w:numPr>
          <w:ilvl w:val="0"/>
          <w:numId w:val="2"/>
        </w:numPr>
        <w:spacing w:before="0" w:line="360" w:lineRule="auto"/>
        <w:jc w:val="both"/>
        <w:rPr>
          <w:rFonts w:eastAsiaTheme="majorEastAsia"/>
        </w:rPr>
      </w:pPr>
      <w:r>
        <w:rPr>
          <w:rFonts w:eastAsiaTheme="majorEastAsia"/>
        </w:rPr>
        <w:t>Digital</w:t>
      </w:r>
      <w:r w:rsidRPr="00AE2ACF">
        <w:rPr>
          <w:rFonts w:eastAsiaTheme="majorEastAsia"/>
        </w:rPr>
        <w:t xml:space="preserve"> Retail Payments – Volume and Value</w:t>
      </w:r>
    </w:p>
    <w:p w14:paraId="225E6846" w14:textId="09976AAE" w:rsidR="00AE2ACF" w:rsidRDefault="00681231" w:rsidP="00AE2ACF">
      <w:pPr>
        <w:pStyle w:val="BodyText"/>
        <w:ind w:left="90"/>
      </w:pPr>
      <w:r>
        <w:rPr>
          <w:noProof/>
          <w:lang w:val="en-IN" w:eastAsia="en-IN"/>
        </w:rPr>
        <w:drawing>
          <wp:inline distT="0" distB="0" distL="0" distR="0" wp14:anchorId="10E4471E" wp14:editId="3455265C">
            <wp:extent cx="5711355" cy="2755154"/>
            <wp:effectExtent l="95250" t="76200" r="99060" b="121920"/>
            <wp:docPr id="5992150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6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2" cy="2761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A522D7" w14:textId="05F2ECE9" w:rsidR="00AE2ACF" w:rsidRPr="001B264F" w:rsidRDefault="00AE2ACF" w:rsidP="00AE2ACF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Digital retail payments include NEFT, IMPS, NACH (credit, debit and APBS), card payment transactions (excl. cash withdrawal), PPI payment transactions (excl. cash withdrawal),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 and NETC (linked to bank accounts). </w:t>
      </w:r>
    </w:p>
    <w:p w14:paraId="4B7A395F" w14:textId="251D5F55" w:rsidR="00AE2ACF" w:rsidRDefault="00AE2ACF" w:rsidP="00AE2ACF">
      <w:pPr>
        <w:pStyle w:val="Heading1"/>
        <w:numPr>
          <w:ilvl w:val="0"/>
          <w:numId w:val="2"/>
        </w:numPr>
        <w:spacing w:before="0"/>
        <w:jc w:val="both"/>
      </w:pPr>
      <w:bookmarkStart w:id="4" w:name="X9693519a275fd5e7dc5ef157c6043f8a96c94f8"/>
      <w:bookmarkStart w:id="5" w:name="cards-and-ppi"/>
      <w:bookmarkStart w:id="6" w:name="_Toc93802252"/>
      <w:r>
        <w:lastRenderedPageBreak/>
        <w:t xml:space="preserve">Comparison of </w:t>
      </w:r>
      <w:r w:rsidR="00BB2A78">
        <w:t>WHOLESALE</w:t>
      </w:r>
      <w:r>
        <w:t xml:space="preserve"> and </w:t>
      </w:r>
      <w:r w:rsidR="00BB2A78">
        <w:t>RETAIL</w:t>
      </w:r>
      <w:r>
        <w:t xml:space="preserve"> Payment Systems</w:t>
      </w:r>
      <w:bookmarkEnd w:id="4"/>
    </w:p>
    <w:p w14:paraId="3F8D4D09" w14:textId="10B818CA" w:rsidR="00AE2ACF" w:rsidRDefault="00AE2ACF" w:rsidP="00124512">
      <w:pPr>
        <w:pStyle w:val="Heading2"/>
        <w:numPr>
          <w:ilvl w:val="1"/>
          <w:numId w:val="2"/>
        </w:numPr>
      </w:pPr>
      <w:bookmarkStart w:id="7" w:name="comparision-of-volume"/>
      <w:r>
        <w:t xml:space="preserve">Comparison of </w:t>
      </w:r>
      <w:r w:rsidR="00DE0692">
        <w:t xml:space="preserve">Payments </w:t>
      </w:r>
      <w:r>
        <w:t>Volume</w:t>
      </w:r>
      <w:bookmarkEnd w:id="7"/>
    </w:p>
    <w:p w14:paraId="69DE88CD" w14:textId="34565BD5" w:rsidR="00AE2ACF" w:rsidRDefault="00BF70C5" w:rsidP="001B264F">
      <w:r>
        <w:rPr>
          <w:noProof/>
          <w:lang w:val="en-IN" w:eastAsia="en-IN"/>
        </w:rPr>
        <w:drawing>
          <wp:inline distT="0" distB="0" distL="0" distR="0" wp14:anchorId="700DCA2D" wp14:editId="2DFE2381">
            <wp:extent cx="5716905" cy="2929537"/>
            <wp:effectExtent l="76200" t="76200" r="112395" b="118745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ough-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1" cy="2932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2E90DA" w14:textId="6990CB8E" w:rsidR="00AE2ACF" w:rsidRDefault="00AE2ACF" w:rsidP="00124512">
      <w:pPr>
        <w:pStyle w:val="Heading2"/>
        <w:numPr>
          <w:ilvl w:val="1"/>
          <w:numId w:val="2"/>
        </w:numPr>
      </w:pPr>
      <w:r>
        <w:t xml:space="preserve">Comparison of </w:t>
      </w:r>
      <w:r w:rsidR="00DE0692">
        <w:t xml:space="preserve">Payments </w:t>
      </w:r>
      <w:r>
        <w:t>Value</w:t>
      </w:r>
    </w:p>
    <w:p w14:paraId="2A3A2DAB" w14:textId="20A4C080" w:rsidR="00AE2ACF" w:rsidRDefault="00BF70C5" w:rsidP="00AE2ACF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B79B528" wp14:editId="1053E241">
            <wp:extent cx="5764530" cy="3215735"/>
            <wp:effectExtent l="76200" t="76200" r="83820" b="118110"/>
            <wp:docPr id="14966038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ough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66" cy="3217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D17A8D" w14:textId="6E1E0431" w:rsidR="00E545A1" w:rsidRPr="001B264F" w:rsidRDefault="00E545A1" w:rsidP="00E545A1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="00BF70C5">
        <w:rPr>
          <w:b/>
          <w:bCs/>
          <w:i/>
          <w:iCs/>
          <w:sz w:val="16"/>
          <w:szCs w:val="16"/>
        </w:rPr>
        <w:t>Wholesale</w:t>
      </w:r>
      <w:r w:rsidRPr="001B264F">
        <w:rPr>
          <w:b/>
          <w:bCs/>
          <w:i/>
          <w:iCs/>
          <w:sz w:val="16"/>
          <w:szCs w:val="16"/>
        </w:rPr>
        <w:t xml:space="preserve"> payment systems</w:t>
      </w:r>
      <w:r w:rsidRPr="001B264F">
        <w:rPr>
          <w:i/>
          <w:iCs/>
          <w:sz w:val="16"/>
          <w:szCs w:val="16"/>
        </w:rPr>
        <w:t xml:space="preserve"> include RTGS (customer and inter-bank transactions) and NEFT. </w:t>
      </w:r>
    </w:p>
    <w:p w14:paraId="5C57238D" w14:textId="17C431AE" w:rsidR="00E545A1" w:rsidRPr="001B264F" w:rsidRDefault="00E545A1" w:rsidP="00E545A1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NPCI</w:t>
      </w:r>
      <w:r w:rsidR="00BF70C5">
        <w:rPr>
          <w:b/>
          <w:bCs/>
          <w:i/>
          <w:iCs/>
          <w:sz w:val="16"/>
          <w:szCs w:val="16"/>
        </w:rPr>
        <w:t>-retail</w:t>
      </w:r>
      <w:r w:rsidRPr="001B264F">
        <w:rPr>
          <w:b/>
          <w:bCs/>
          <w:i/>
          <w:iCs/>
          <w:sz w:val="16"/>
          <w:szCs w:val="16"/>
        </w:rPr>
        <w:t xml:space="preserve"> payment systems</w:t>
      </w:r>
      <w:r w:rsidRPr="001B264F">
        <w:rPr>
          <w:i/>
          <w:iCs/>
          <w:sz w:val="16"/>
          <w:szCs w:val="16"/>
        </w:rPr>
        <w:t xml:space="preserve"> include IMPS, NACH,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</w:t>
      </w:r>
      <w:r w:rsidR="00E868D3" w:rsidRPr="001B264F">
        <w:rPr>
          <w:i/>
          <w:iCs/>
          <w:sz w:val="16"/>
          <w:szCs w:val="16"/>
        </w:rPr>
        <w:t xml:space="preserve">, </w:t>
      </w:r>
      <w:r w:rsidRPr="001B264F">
        <w:rPr>
          <w:i/>
          <w:iCs/>
          <w:sz w:val="16"/>
          <w:szCs w:val="16"/>
        </w:rPr>
        <w:t>NETC (linked to bank account)</w:t>
      </w:r>
      <w:r w:rsidR="00E868D3" w:rsidRPr="001B264F">
        <w:rPr>
          <w:i/>
          <w:iCs/>
          <w:sz w:val="16"/>
          <w:szCs w:val="16"/>
        </w:rPr>
        <w:t xml:space="preserve"> and paper </w:t>
      </w:r>
      <w:r w:rsidR="000220DC" w:rsidRPr="001B264F">
        <w:rPr>
          <w:i/>
          <w:iCs/>
          <w:sz w:val="16"/>
          <w:szCs w:val="16"/>
        </w:rPr>
        <w:t>clearing</w:t>
      </w:r>
      <w:r w:rsidRPr="001B264F">
        <w:rPr>
          <w:i/>
          <w:iCs/>
          <w:sz w:val="16"/>
          <w:szCs w:val="16"/>
        </w:rPr>
        <w:t xml:space="preserve">. </w:t>
      </w:r>
    </w:p>
    <w:p w14:paraId="15FBB823" w14:textId="45B12E6B" w:rsidR="00E545A1" w:rsidRPr="001B264F" w:rsidRDefault="00E545A1" w:rsidP="00E545A1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Other</w:t>
      </w:r>
      <w:r w:rsidR="00BF70C5">
        <w:rPr>
          <w:b/>
          <w:bCs/>
          <w:i/>
          <w:iCs/>
          <w:sz w:val="16"/>
          <w:szCs w:val="16"/>
        </w:rPr>
        <w:t>-retail</w:t>
      </w:r>
      <w:r w:rsidRPr="001B264F">
        <w:rPr>
          <w:b/>
          <w:bCs/>
          <w:i/>
          <w:iCs/>
          <w:sz w:val="16"/>
          <w:szCs w:val="16"/>
        </w:rPr>
        <w:t xml:space="preserve"> payment systems</w:t>
      </w:r>
      <w:r w:rsidRPr="001B264F">
        <w:rPr>
          <w:i/>
          <w:iCs/>
          <w:sz w:val="16"/>
          <w:szCs w:val="16"/>
        </w:rPr>
        <w:t xml:space="preserve"> include debit and credit card payment transactions (excl. cash withdrawal) and wallet and PPI card payment transactions (excl. cash withdrawal).</w:t>
      </w:r>
    </w:p>
    <w:p w14:paraId="35BBB6A3" w14:textId="59045CA3" w:rsidR="003D6874" w:rsidRDefault="003D6874" w:rsidP="009B7573">
      <w:pPr>
        <w:pStyle w:val="Heading1"/>
        <w:numPr>
          <w:ilvl w:val="0"/>
          <w:numId w:val="2"/>
        </w:numPr>
        <w:spacing w:before="0"/>
        <w:jc w:val="both"/>
      </w:pPr>
      <w:bookmarkStart w:id="8" w:name="rbi-operated-payment-systems"/>
      <w:r>
        <w:lastRenderedPageBreak/>
        <w:t>RBI Operated Payment Systems</w:t>
      </w:r>
      <w:bookmarkEnd w:id="8"/>
    </w:p>
    <w:p w14:paraId="52F47D87" w14:textId="55E558B0" w:rsidR="003D6874" w:rsidRDefault="00E545A1" w:rsidP="003D6874">
      <w:pPr>
        <w:pStyle w:val="Heading2"/>
        <w:numPr>
          <w:ilvl w:val="1"/>
          <w:numId w:val="2"/>
        </w:numPr>
        <w:rPr>
          <w:color w:val="2E4396" w:themeColor="accent1" w:themeShade="B5"/>
        </w:rPr>
      </w:pPr>
      <w:r w:rsidRPr="00E545A1">
        <w:rPr>
          <w:color w:val="2E4396" w:themeColor="accent1" w:themeShade="B5"/>
        </w:rPr>
        <w:t xml:space="preserve">Real Time Gross Settlement (RTGS) </w:t>
      </w:r>
    </w:p>
    <w:p w14:paraId="70449F09" w14:textId="26F8E88C" w:rsidR="003D6874" w:rsidRDefault="00681231" w:rsidP="003D687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35FE149B" wp14:editId="6F695EAA">
            <wp:extent cx="5732145" cy="3115315"/>
            <wp:effectExtent l="76200" t="76200" r="78105" b="123190"/>
            <wp:docPr id="6052264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9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31" cy="3116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39F26D" w14:textId="48007DC2" w:rsidR="003D6874" w:rsidRDefault="00E545A1" w:rsidP="003D6874">
      <w:pPr>
        <w:pStyle w:val="Heading2"/>
        <w:numPr>
          <w:ilvl w:val="1"/>
          <w:numId w:val="2"/>
        </w:numPr>
        <w:rPr>
          <w:color w:val="2E4396" w:themeColor="accent1" w:themeShade="B5"/>
        </w:rPr>
      </w:pPr>
      <w:r w:rsidRPr="00E545A1">
        <w:rPr>
          <w:color w:val="2E4396" w:themeColor="accent1" w:themeShade="B5"/>
        </w:rPr>
        <w:t xml:space="preserve">National Electronic Funds Transfer (NEFT) </w:t>
      </w:r>
    </w:p>
    <w:p w14:paraId="063E8C8A" w14:textId="63881CE3" w:rsidR="003D6874" w:rsidRPr="003D6874" w:rsidRDefault="00681231" w:rsidP="003D687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77C91996" wp14:editId="78E7899F">
            <wp:extent cx="5718175" cy="3244778"/>
            <wp:effectExtent l="76200" t="76200" r="111125" b="108585"/>
            <wp:docPr id="15438866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1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03" cy="324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62B9F3" w14:textId="77777777" w:rsidR="003D6874" w:rsidRPr="003D6874" w:rsidRDefault="003D6874" w:rsidP="003D6874">
      <w:pPr>
        <w:pStyle w:val="BodyText"/>
      </w:pPr>
    </w:p>
    <w:p w14:paraId="0DACE2EB" w14:textId="6671E5ED" w:rsidR="00442CFA" w:rsidRPr="00442CFA" w:rsidRDefault="00442CFA" w:rsidP="00442CFA">
      <w:pPr>
        <w:pStyle w:val="Heading1"/>
        <w:numPr>
          <w:ilvl w:val="0"/>
          <w:numId w:val="2"/>
        </w:numPr>
        <w:spacing w:before="0"/>
        <w:jc w:val="both"/>
      </w:pPr>
      <w:bookmarkStart w:id="9" w:name="npci-operated-fast-payment-systems"/>
      <w:r>
        <w:lastRenderedPageBreak/>
        <w:t>NPCI Operated Fast Payment Systems</w:t>
      </w:r>
      <w:bookmarkStart w:id="10" w:name="upi-and-imps"/>
      <w:bookmarkEnd w:id="9"/>
      <w:r>
        <w:t xml:space="preserve"> - </w:t>
      </w:r>
      <w:r w:rsidR="00E545A1" w:rsidRPr="00E545A1">
        <w:t>Unified Payments Interface</w:t>
      </w:r>
      <w:r w:rsidR="00E545A1">
        <w:t xml:space="preserve"> (</w:t>
      </w:r>
      <w:r w:rsidRPr="00442CFA">
        <w:t>UPI</w:t>
      </w:r>
      <w:r w:rsidR="00E545A1">
        <w:t>)</w:t>
      </w:r>
      <w:r w:rsidRPr="00442CFA">
        <w:t xml:space="preserve"> and</w:t>
      </w:r>
      <w:r w:rsidR="00E545A1">
        <w:t xml:space="preserve"> </w:t>
      </w:r>
      <w:r w:rsidR="00E545A1" w:rsidRPr="00E545A1">
        <w:t>Immediate Payment System</w:t>
      </w:r>
      <w:r w:rsidRPr="00442CFA">
        <w:t xml:space="preserve"> </w:t>
      </w:r>
      <w:r w:rsidR="00E545A1">
        <w:t>(</w:t>
      </w:r>
      <w:r w:rsidRPr="00442CFA">
        <w:t>IMPS</w:t>
      </w:r>
      <w:bookmarkEnd w:id="10"/>
      <w:r w:rsidR="00E545A1">
        <w:t>)</w:t>
      </w:r>
    </w:p>
    <w:p w14:paraId="2A6AF0C6" w14:textId="379BB7BF" w:rsidR="00442CFA" w:rsidRDefault="00681231" w:rsidP="001B264F">
      <w:r>
        <w:rPr>
          <w:noProof/>
          <w:lang w:val="en-IN" w:eastAsia="en-IN"/>
        </w:rPr>
        <w:drawing>
          <wp:inline distT="0" distB="0" distL="0" distR="0" wp14:anchorId="6BE4F499" wp14:editId="49888618">
            <wp:extent cx="5739168" cy="3394075"/>
            <wp:effectExtent l="95250" t="76200" r="90170" b="130175"/>
            <wp:docPr id="46511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2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03" cy="3394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0F2AFC" w14:textId="77777777" w:rsidR="00442CFA" w:rsidRDefault="00442CFA" w:rsidP="00442CFA">
      <w:pPr>
        <w:pStyle w:val="Heading1"/>
        <w:numPr>
          <w:ilvl w:val="0"/>
          <w:numId w:val="2"/>
        </w:numPr>
        <w:spacing w:before="0"/>
        <w:jc w:val="both"/>
      </w:pPr>
      <w:bookmarkStart w:id="11" w:name="other-npci-operated-payment-systems"/>
      <w:r>
        <w:t>Other NPCI Operated Payment Systems</w:t>
      </w:r>
      <w:bookmarkEnd w:id="11"/>
    </w:p>
    <w:p w14:paraId="4D5D27BB" w14:textId="6F71ACC4" w:rsidR="00442CFA" w:rsidRDefault="00E545A1" w:rsidP="00124512">
      <w:pPr>
        <w:pStyle w:val="Heading2"/>
        <w:numPr>
          <w:ilvl w:val="1"/>
          <w:numId w:val="2"/>
        </w:numPr>
      </w:pPr>
      <w:r w:rsidRPr="00E545A1">
        <w:t>Bharat Interface for Money (BHIM)</w:t>
      </w:r>
      <w:r>
        <w:t xml:space="preserve"> </w:t>
      </w:r>
      <w:r w:rsidR="00442CFA" w:rsidRPr="00442CFA">
        <w:t>Aadhar Pay</w:t>
      </w:r>
    </w:p>
    <w:p w14:paraId="35C03BAB" w14:textId="6044B04C" w:rsidR="00442CFA" w:rsidRPr="00442CFA" w:rsidRDefault="00681231" w:rsidP="00442CFA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62C3E75" wp14:editId="2A64E918">
            <wp:extent cx="5691401" cy="3394075"/>
            <wp:effectExtent l="95250" t="76200" r="119380" b="130175"/>
            <wp:docPr id="13895912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3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55" cy="3395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84BB82" w14:textId="64D02DAB" w:rsidR="00442CFA" w:rsidRDefault="000714FC" w:rsidP="00124512">
      <w:pPr>
        <w:pStyle w:val="Heading2"/>
        <w:numPr>
          <w:ilvl w:val="1"/>
          <w:numId w:val="2"/>
        </w:numPr>
      </w:pPr>
      <w:r w:rsidRPr="000714FC">
        <w:lastRenderedPageBreak/>
        <w:t xml:space="preserve">National Electronic Toll Collection (NETC) </w:t>
      </w:r>
      <w:r w:rsidR="00442CFA" w:rsidRPr="00442CFA">
        <w:t>(Linked to Bank Account)</w:t>
      </w:r>
    </w:p>
    <w:p w14:paraId="4B9C4D5F" w14:textId="6CCB3805" w:rsidR="00442CFA" w:rsidRPr="00442CFA" w:rsidRDefault="00681231" w:rsidP="00442CFA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B310776" wp14:editId="32F80638">
            <wp:extent cx="5608955" cy="3217453"/>
            <wp:effectExtent l="76200" t="76200" r="125095" b="116840"/>
            <wp:docPr id="6688502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4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52" cy="3220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C87EAE" w14:textId="3504AB9D" w:rsidR="00442CFA" w:rsidRDefault="000714FC" w:rsidP="00124512">
      <w:pPr>
        <w:pStyle w:val="Heading2"/>
        <w:numPr>
          <w:ilvl w:val="1"/>
          <w:numId w:val="2"/>
        </w:numPr>
      </w:pPr>
      <w:r w:rsidRPr="000714FC">
        <w:t>National Automated Clearing House (NACH)</w:t>
      </w:r>
      <w:r>
        <w:t xml:space="preserve"> - </w:t>
      </w:r>
      <w:r w:rsidR="00442CFA" w:rsidRPr="00442CFA">
        <w:t>Credit and Debit</w:t>
      </w:r>
    </w:p>
    <w:p w14:paraId="344BDB84" w14:textId="0F0E67F0" w:rsidR="00442CFA" w:rsidRDefault="00681231" w:rsidP="00442CFA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F0366A3" wp14:editId="108546E5">
            <wp:extent cx="5650230" cy="3258599"/>
            <wp:effectExtent l="76200" t="76200" r="121920" b="113665"/>
            <wp:docPr id="8786501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5-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48" cy="3260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B615BD" w14:textId="2742484D" w:rsidR="005F75C7" w:rsidRDefault="005F75C7" w:rsidP="00442CFA">
      <w:pPr>
        <w:pStyle w:val="BodyText"/>
      </w:pPr>
    </w:p>
    <w:p w14:paraId="34DC8A2A" w14:textId="77777777" w:rsidR="005F75C7" w:rsidRPr="00442CFA" w:rsidRDefault="005F75C7" w:rsidP="00442CFA">
      <w:pPr>
        <w:pStyle w:val="BodyText"/>
      </w:pPr>
    </w:p>
    <w:p w14:paraId="713A2056" w14:textId="77777777" w:rsidR="004B6AB5" w:rsidRDefault="00AC4589" w:rsidP="005F75C7">
      <w:pPr>
        <w:pStyle w:val="Heading1"/>
        <w:numPr>
          <w:ilvl w:val="0"/>
          <w:numId w:val="2"/>
        </w:numPr>
        <w:spacing w:before="0" w:line="240" w:lineRule="auto"/>
        <w:ind w:left="714" w:hanging="357"/>
        <w:jc w:val="both"/>
      </w:pPr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5"/>
      <w:bookmarkEnd w:id="6"/>
      <w:r w:rsidR="00300E94">
        <w:t>s)</w:t>
      </w:r>
      <w:bookmarkStart w:id="12" w:name="debit-and-credit-cards"/>
    </w:p>
    <w:p w14:paraId="00DBAF4D" w14:textId="69A427E3" w:rsidR="00442CFA" w:rsidRDefault="00442CFA" w:rsidP="005F75C7">
      <w:pPr>
        <w:pStyle w:val="Heading2"/>
        <w:numPr>
          <w:ilvl w:val="1"/>
          <w:numId w:val="2"/>
        </w:numPr>
        <w:spacing w:line="240" w:lineRule="auto"/>
        <w:ind w:left="1434" w:hanging="357"/>
      </w:pPr>
      <w:r w:rsidRPr="00442CFA">
        <w:t>Debit and Credit Cards</w:t>
      </w:r>
      <w:bookmarkEnd w:id="12"/>
    </w:p>
    <w:p w14:paraId="599B17EA" w14:textId="18F16A71" w:rsidR="00701388" w:rsidRDefault="00681231" w:rsidP="00701388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08D36AA" wp14:editId="57D7A3B5">
            <wp:extent cx="5697279" cy="3138985"/>
            <wp:effectExtent l="76200" t="76200" r="113030" b="118745"/>
            <wp:docPr id="8732494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6-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51" cy="3144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ACF094" w14:textId="1675E006" w:rsidR="00701388" w:rsidRPr="001B264F" w:rsidRDefault="00701388" w:rsidP="005F75C7">
      <w:pPr>
        <w:pStyle w:val="FirstParagraph"/>
        <w:spacing w:before="0" w:after="0" w:line="240" w:lineRule="auto"/>
        <w:jc w:val="both"/>
        <w:rPr>
          <w:sz w:val="18"/>
          <w:szCs w:val="18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>: Cards include debit and credit card payment transactions (excl. cash withdrawal).</w:t>
      </w:r>
    </w:p>
    <w:p w14:paraId="43E014A0" w14:textId="38ED2D7E" w:rsidR="004B6AB5" w:rsidRPr="008963E5" w:rsidRDefault="004B6AB5" w:rsidP="005F75C7">
      <w:pPr>
        <w:pStyle w:val="Heading2"/>
        <w:numPr>
          <w:ilvl w:val="1"/>
          <w:numId w:val="2"/>
        </w:numPr>
        <w:spacing w:line="240" w:lineRule="auto"/>
        <w:ind w:left="1434" w:hanging="357"/>
      </w:pPr>
      <w:r w:rsidRPr="008963E5">
        <w:t>PPI Wallets and Cards Usage</w:t>
      </w:r>
    </w:p>
    <w:p w14:paraId="527AE043" w14:textId="3BF47547" w:rsidR="004B6AB5" w:rsidRDefault="00681231" w:rsidP="004B6AB5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C43E7EE" wp14:editId="442565B6">
            <wp:extent cx="5677753" cy="3394075"/>
            <wp:effectExtent l="95250" t="76200" r="113665" b="130175"/>
            <wp:docPr id="10486271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7-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68" cy="339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3FCF2F" w14:textId="24B2B195" w:rsidR="000F6DA6" w:rsidRPr="00083F75" w:rsidRDefault="00701388" w:rsidP="005F75C7">
      <w:pPr>
        <w:pStyle w:val="FirstParagraph"/>
        <w:spacing w:before="0" w:after="0" w:line="240" w:lineRule="auto"/>
        <w:jc w:val="both"/>
        <w:rPr>
          <w:sz w:val="2"/>
          <w:szCs w:val="2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>: PPIs include wallet and PPI card payment transactions (excl. cash withdrawal).</w:t>
      </w:r>
      <w:r w:rsidR="00442CFA" w:rsidRPr="001B264F">
        <w:rPr>
          <w:sz w:val="18"/>
          <w:szCs w:val="18"/>
        </w:rPr>
        <w:tab/>
      </w:r>
    </w:p>
    <w:p w14:paraId="0DF4B8A4" w14:textId="550D950D" w:rsidR="00701388" w:rsidRPr="00701388" w:rsidRDefault="00701388" w:rsidP="008963E5">
      <w:pPr>
        <w:pStyle w:val="Heading1"/>
        <w:numPr>
          <w:ilvl w:val="0"/>
          <w:numId w:val="2"/>
        </w:numPr>
        <w:spacing w:before="0" w:line="360" w:lineRule="auto"/>
        <w:jc w:val="both"/>
        <w:rPr>
          <w:rFonts w:eastAsiaTheme="majorEastAsia"/>
        </w:rPr>
      </w:pPr>
      <w:bookmarkStart w:id="13" w:name="paper-operated-payment-system---cts"/>
      <w:r w:rsidRPr="00701388">
        <w:rPr>
          <w:rFonts w:eastAsiaTheme="majorEastAsia"/>
        </w:rPr>
        <w:lastRenderedPageBreak/>
        <w:t xml:space="preserve">Paper Operated </w:t>
      </w:r>
      <w:r w:rsidRPr="008963E5">
        <w:t>Payment</w:t>
      </w:r>
      <w:r w:rsidRPr="00701388">
        <w:rPr>
          <w:rFonts w:eastAsiaTheme="majorEastAsia"/>
        </w:rPr>
        <w:t xml:space="preserve"> System - </w:t>
      </w:r>
      <w:r w:rsidR="000714FC" w:rsidRPr="000714FC">
        <w:rPr>
          <w:rFonts w:eastAsiaTheme="majorEastAsia"/>
        </w:rPr>
        <w:t>Cheque Truncation System (CTS)</w:t>
      </w:r>
      <w:bookmarkEnd w:id="13"/>
    </w:p>
    <w:p w14:paraId="10F615EC" w14:textId="48D48B64" w:rsidR="00121757" w:rsidRDefault="00121757" w:rsidP="000F6DA6">
      <w:pPr>
        <w:pStyle w:val="BodyText"/>
        <w:spacing w:before="0" w:after="0" w:line="360" w:lineRule="auto"/>
        <w:jc w:val="both"/>
      </w:pPr>
    </w:p>
    <w:p w14:paraId="1CF451B9" w14:textId="35D3B59A" w:rsidR="00701388" w:rsidRDefault="0068123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5EA9251" wp14:editId="62FBD7D5">
            <wp:extent cx="5725520" cy="3394075"/>
            <wp:effectExtent l="95250" t="76200" r="104140" b="130175"/>
            <wp:docPr id="9460864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8-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02" cy="3394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708A55" w14:textId="77777777" w:rsidR="00FA7CF1" w:rsidRPr="004A6139" w:rsidRDefault="00FA7CF1" w:rsidP="008963E5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4" w:name="digital-payment-volume-share"/>
      <w:bookmarkStart w:id="15" w:name="_Toc93802256"/>
      <w:r w:rsidRPr="00FA7CF1">
        <w:t>Card Acceptance Infrastructure and QR Codes</w:t>
      </w:r>
    </w:p>
    <w:p w14:paraId="51577596" w14:textId="606C46DC" w:rsidR="00FA7CF1" w:rsidRPr="004A6139" w:rsidRDefault="00611B46" w:rsidP="00611B46">
      <w:pPr>
        <w:pStyle w:val="Heading2"/>
        <w:numPr>
          <w:ilvl w:val="1"/>
          <w:numId w:val="2"/>
        </w:numPr>
        <w:spacing w:before="0" w:line="360" w:lineRule="auto"/>
        <w:jc w:val="both"/>
        <w:rPr>
          <w:color w:val="2E4396" w:themeColor="accent1" w:themeShade="B5"/>
        </w:rPr>
      </w:pPr>
      <w:r w:rsidRPr="004A6139">
        <w:rPr>
          <w:color w:val="2E4396" w:themeColor="accent1" w:themeShade="B5"/>
        </w:rPr>
        <w:t>Card Acceptance Infrastructure</w:t>
      </w:r>
    </w:p>
    <w:p w14:paraId="34E75EEF" w14:textId="599C802A" w:rsidR="00611B46" w:rsidRDefault="00681231" w:rsidP="00611B4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3EDA7F1" wp14:editId="2F50BCD7">
            <wp:extent cx="5780111" cy="3394075"/>
            <wp:effectExtent l="95250" t="76200" r="125730" b="130175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10" cy="3394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B2832F" w14:textId="2C1E4601" w:rsidR="00611B46" w:rsidRPr="004A6139" w:rsidRDefault="00611B46" w:rsidP="00611B46">
      <w:pPr>
        <w:pStyle w:val="Heading2"/>
        <w:numPr>
          <w:ilvl w:val="1"/>
          <w:numId w:val="2"/>
        </w:numPr>
        <w:spacing w:before="0" w:line="360" w:lineRule="auto"/>
        <w:jc w:val="both"/>
        <w:rPr>
          <w:color w:val="2E4396" w:themeColor="accent1" w:themeShade="B5"/>
        </w:rPr>
      </w:pPr>
      <w:r w:rsidRPr="004A6139">
        <w:rPr>
          <w:color w:val="2E4396" w:themeColor="accent1" w:themeShade="B5"/>
        </w:rPr>
        <w:lastRenderedPageBreak/>
        <w:t>UPI QR Codes</w:t>
      </w:r>
    </w:p>
    <w:p w14:paraId="20706C08" w14:textId="673A59E2" w:rsidR="00611B46" w:rsidRPr="00611B46" w:rsidRDefault="00681231" w:rsidP="00611B4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4972C56" wp14:editId="768CB508">
            <wp:extent cx="5758218" cy="3101340"/>
            <wp:effectExtent l="76200" t="76200" r="71120" b="118110"/>
            <wp:docPr id="4785881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0-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92" cy="3103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7BD308" w14:textId="7DF83C36" w:rsidR="00611B46" w:rsidRPr="008963E5" w:rsidRDefault="00611B46" w:rsidP="008963E5">
      <w:pPr>
        <w:pStyle w:val="Heading1"/>
        <w:numPr>
          <w:ilvl w:val="0"/>
          <w:numId w:val="2"/>
        </w:numPr>
        <w:spacing w:before="0" w:line="360" w:lineRule="auto"/>
        <w:jc w:val="both"/>
      </w:pPr>
      <w:r w:rsidRPr="008963E5">
        <w:t>Payment System Wise Volume and Value Share</w:t>
      </w:r>
    </w:p>
    <w:p w14:paraId="372ADF40" w14:textId="556EDBC5" w:rsidR="00611B46" w:rsidRPr="004A6139" w:rsidRDefault="00611B46" w:rsidP="004A6139">
      <w:pPr>
        <w:pStyle w:val="Heading2"/>
        <w:numPr>
          <w:ilvl w:val="1"/>
          <w:numId w:val="2"/>
        </w:numPr>
        <w:spacing w:before="0" w:line="360" w:lineRule="auto"/>
        <w:jc w:val="both"/>
        <w:rPr>
          <w:color w:val="2E4396" w:themeColor="accent1" w:themeShade="B5"/>
        </w:rPr>
      </w:pPr>
      <w:r w:rsidRPr="004A6139">
        <w:rPr>
          <w:color w:val="2E4396" w:themeColor="accent1" w:themeShade="B5"/>
        </w:rPr>
        <w:t>Digital Payment Volume Share</w:t>
      </w:r>
    </w:p>
    <w:p w14:paraId="18F1FD2B" w14:textId="52C2672F" w:rsidR="00611B46" w:rsidRDefault="00681231" w:rsidP="00611B46">
      <w:pPr>
        <w:pStyle w:val="BodyText"/>
        <w:ind w:left="90"/>
        <w:rPr>
          <w:rFonts w:asciiTheme="majorHAnsi" w:eastAsiaTheme="majorEastAsia" w:hAnsiTheme="majorHAnsi" w:cstheme="majorBidi"/>
          <w:b/>
          <w:bCs/>
          <w:color w:val="5967AF" w:themeColor="text2" w:themeTint="99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05A3E1A2" wp14:editId="7B13ABA3">
            <wp:extent cx="5691401" cy="3394075"/>
            <wp:effectExtent l="95250" t="76200" r="119380" b="130175"/>
            <wp:docPr id="10954631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1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26" cy="33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FD5310" w14:textId="77777777" w:rsidR="005F75C7" w:rsidRDefault="005F75C7" w:rsidP="00611B46">
      <w:pPr>
        <w:pStyle w:val="BodyText"/>
        <w:ind w:left="90"/>
        <w:rPr>
          <w:rFonts w:asciiTheme="majorHAnsi" w:eastAsiaTheme="majorEastAsia" w:hAnsiTheme="majorHAnsi" w:cstheme="majorBidi"/>
          <w:b/>
          <w:bCs/>
          <w:color w:val="5967AF" w:themeColor="text2" w:themeTint="99"/>
          <w:sz w:val="32"/>
          <w:szCs w:val="32"/>
        </w:rPr>
      </w:pPr>
    </w:p>
    <w:p w14:paraId="06A61707" w14:textId="33C10B23" w:rsidR="00611B46" w:rsidRPr="004A6139" w:rsidRDefault="00611B46" w:rsidP="005F75C7">
      <w:pPr>
        <w:pStyle w:val="Heading2"/>
        <w:numPr>
          <w:ilvl w:val="1"/>
          <w:numId w:val="2"/>
        </w:numPr>
        <w:spacing w:before="0" w:line="240" w:lineRule="auto"/>
        <w:ind w:left="1434" w:hanging="357"/>
        <w:jc w:val="both"/>
        <w:rPr>
          <w:color w:val="2E4396" w:themeColor="accent1" w:themeShade="B5"/>
        </w:rPr>
      </w:pPr>
      <w:r w:rsidRPr="004A6139">
        <w:rPr>
          <w:color w:val="2E4396" w:themeColor="accent1" w:themeShade="B5"/>
        </w:rPr>
        <w:lastRenderedPageBreak/>
        <w:t>Digital Payment Value Share</w:t>
      </w:r>
    </w:p>
    <w:p w14:paraId="57987DD0" w14:textId="7DE1683F" w:rsidR="00611B46" w:rsidRPr="00611B46" w:rsidRDefault="00681231" w:rsidP="00611B46">
      <w:pPr>
        <w:pStyle w:val="BodyText"/>
        <w:ind w:left="180"/>
        <w:rPr>
          <w:rFonts w:asciiTheme="majorHAnsi" w:eastAsiaTheme="majorEastAsia" w:hAnsiTheme="majorHAnsi" w:cstheme="majorBidi"/>
          <w:b/>
          <w:bCs/>
          <w:color w:val="5967AF" w:themeColor="text2" w:themeTint="99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4B693831" wp14:editId="1E9D7AA8">
            <wp:extent cx="5705049" cy="3394075"/>
            <wp:effectExtent l="95250" t="76200" r="124460" b="130175"/>
            <wp:docPr id="15037064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2-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1" cy="3395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bookmarkEnd w:id="14"/>
    <w:bookmarkEnd w:id="15"/>
    <w:p w14:paraId="4877EB66" w14:textId="477A2BD8" w:rsidR="00121757" w:rsidRPr="008963E5" w:rsidRDefault="006543D1" w:rsidP="008963E5">
      <w:pPr>
        <w:pStyle w:val="Heading1"/>
        <w:numPr>
          <w:ilvl w:val="0"/>
          <w:numId w:val="2"/>
        </w:numPr>
        <w:spacing w:before="0" w:line="360" w:lineRule="auto"/>
        <w:jc w:val="both"/>
      </w:pPr>
      <w:r w:rsidRPr="008963E5">
        <w:t>Ticket size</w:t>
      </w:r>
    </w:p>
    <w:p w14:paraId="34F0CB18" w14:textId="12B5A446" w:rsidR="006543D1" w:rsidRPr="004A6139" w:rsidRDefault="006543D1" w:rsidP="005F75C7">
      <w:pPr>
        <w:pStyle w:val="Heading2"/>
        <w:numPr>
          <w:ilvl w:val="1"/>
          <w:numId w:val="2"/>
        </w:numPr>
        <w:spacing w:before="0" w:line="240" w:lineRule="auto"/>
        <w:ind w:left="1434" w:hanging="357"/>
        <w:jc w:val="both"/>
        <w:rPr>
          <w:color w:val="2E4396" w:themeColor="accent1" w:themeShade="B5"/>
        </w:rPr>
      </w:pPr>
      <w:r w:rsidRPr="004A6139">
        <w:rPr>
          <w:color w:val="2E4396" w:themeColor="accent1" w:themeShade="B5"/>
        </w:rPr>
        <w:t>Ticket Size of Retail Payment Systems</w:t>
      </w:r>
    </w:p>
    <w:p w14:paraId="5D6BCE92" w14:textId="48B12D00" w:rsidR="006543D1" w:rsidRDefault="00681231" w:rsidP="006543D1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50182ABF" wp14:editId="2CC26CA6">
            <wp:extent cx="5751374" cy="3098042"/>
            <wp:effectExtent l="76200" t="76200" r="78105" b="121920"/>
            <wp:docPr id="7657367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3-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17" cy="3103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2CA7CC" w14:textId="64496DCB" w:rsidR="006543D1" w:rsidRPr="001B264F" w:rsidRDefault="006543D1" w:rsidP="006543D1">
      <w:pPr>
        <w:pStyle w:val="FirstParagraph"/>
        <w:spacing w:before="0" w:after="0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Pr="001B264F">
        <w:rPr>
          <w:b/>
          <w:bCs/>
          <w:i/>
          <w:iCs/>
          <w:sz w:val="16"/>
          <w:szCs w:val="16"/>
        </w:rPr>
        <w:t xml:space="preserve">Ticket size (Average Value Per Transaction) </w:t>
      </w:r>
      <w:r w:rsidRPr="001B264F">
        <w:rPr>
          <w:i/>
          <w:iCs/>
          <w:sz w:val="16"/>
          <w:szCs w:val="16"/>
        </w:rPr>
        <w:t xml:space="preserve">is calculated by dividing the transaction value of a payment system for a given period by its transaction volume during the same period. </w:t>
      </w:r>
      <w:bookmarkStart w:id="16" w:name="_GoBack"/>
      <w:bookmarkEnd w:id="16"/>
    </w:p>
    <w:p w14:paraId="7D287CE6" w14:textId="5D4116C5" w:rsidR="006543D1" w:rsidRPr="001B264F" w:rsidRDefault="006543D1" w:rsidP="006543D1">
      <w:pPr>
        <w:pStyle w:val="FirstParagraph"/>
        <w:spacing w:before="0" w:after="0"/>
        <w:jc w:val="both"/>
        <w:rPr>
          <w:sz w:val="18"/>
          <w:szCs w:val="18"/>
        </w:rPr>
      </w:pPr>
      <w:r w:rsidRPr="001B264F">
        <w:rPr>
          <w:b/>
          <w:bCs/>
          <w:i/>
          <w:iCs/>
          <w:sz w:val="16"/>
          <w:szCs w:val="16"/>
        </w:rPr>
        <w:t>Cards</w:t>
      </w:r>
      <w:r w:rsidRPr="001B264F">
        <w:rPr>
          <w:i/>
          <w:iCs/>
          <w:sz w:val="16"/>
          <w:szCs w:val="16"/>
        </w:rPr>
        <w:t xml:space="preserve"> include debit and credit card payment transactions (excl. cash withdrawal).</w:t>
      </w:r>
    </w:p>
    <w:p w14:paraId="3498322E" w14:textId="59099BBD" w:rsidR="006543D1" w:rsidRPr="004A6139" w:rsidRDefault="006543D1" w:rsidP="006543D1">
      <w:pPr>
        <w:pStyle w:val="Heading2"/>
        <w:numPr>
          <w:ilvl w:val="1"/>
          <w:numId w:val="2"/>
        </w:numPr>
        <w:spacing w:before="0" w:line="360" w:lineRule="auto"/>
        <w:jc w:val="both"/>
        <w:rPr>
          <w:color w:val="2E4396" w:themeColor="accent1" w:themeShade="B5"/>
        </w:rPr>
      </w:pPr>
      <w:r w:rsidRPr="004A6139">
        <w:rPr>
          <w:color w:val="2E4396" w:themeColor="accent1" w:themeShade="B5"/>
        </w:rPr>
        <w:lastRenderedPageBreak/>
        <w:t>Ticket Size of NEFT and RTGS Payment Systems</w:t>
      </w:r>
    </w:p>
    <w:p w14:paraId="7BE76D54" w14:textId="36E18C50" w:rsidR="006543D1" w:rsidRDefault="00681231" w:rsidP="006543D1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5D0AD5C" wp14:editId="31976329">
            <wp:extent cx="5575395" cy="3394075"/>
            <wp:effectExtent l="95250" t="76200" r="120650" b="130175"/>
            <wp:docPr id="14746438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4-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19" cy="3395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485235" w14:textId="5B3F81CB" w:rsidR="006543D1" w:rsidRPr="006543D1" w:rsidRDefault="006543D1" w:rsidP="001B264F">
      <w:pPr>
        <w:pStyle w:val="FirstParagraph"/>
        <w:spacing w:before="0" w:after="0"/>
        <w:jc w:val="both"/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Pr="001B264F">
        <w:rPr>
          <w:b/>
          <w:bCs/>
          <w:i/>
          <w:iCs/>
          <w:sz w:val="16"/>
          <w:szCs w:val="16"/>
        </w:rPr>
        <w:t xml:space="preserve">Ticket size (Average Value Per Transaction) </w:t>
      </w:r>
      <w:r w:rsidRPr="001B264F">
        <w:rPr>
          <w:i/>
          <w:iCs/>
          <w:sz w:val="16"/>
          <w:szCs w:val="16"/>
        </w:rPr>
        <w:t>is calculated by dividing the transaction value of a payment system for a given period by its transaction volume during the same period</w:t>
      </w:r>
    </w:p>
    <w:p w14:paraId="0CC52B9C" w14:textId="190B3ADA" w:rsidR="006543D1" w:rsidRPr="008963E5" w:rsidRDefault="006543D1" w:rsidP="008963E5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7" w:name="X7a7c38764ac88733f2ccaaafc4f3ea9e3303d79"/>
      <w:r w:rsidRPr="008963E5">
        <w:t>Trade Receivables Discounting System (TReDS)</w:t>
      </w:r>
      <w:bookmarkEnd w:id="17"/>
    </w:p>
    <w:p w14:paraId="5EDD7457" w14:textId="1C45C0EB" w:rsidR="006543D1" w:rsidRPr="004A6139" w:rsidRDefault="006543D1" w:rsidP="008963E5">
      <w:pPr>
        <w:pStyle w:val="Heading2"/>
        <w:numPr>
          <w:ilvl w:val="1"/>
          <w:numId w:val="2"/>
        </w:numPr>
        <w:rPr>
          <w:rFonts w:eastAsiaTheme="majorEastAsia"/>
        </w:rPr>
      </w:pPr>
      <w:r w:rsidRPr="004A6139">
        <w:rPr>
          <w:rFonts w:eastAsiaTheme="majorEastAsia"/>
        </w:rPr>
        <w:t>TReDS - Invoices Uploaded and Financed</w:t>
      </w:r>
    </w:p>
    <w:p w14:paraId="3B06B91F" w14:textId="5DE2BC5D" w:rsidR="006543D1" w:rsidRDefault="00681231" w:rsidP="006543D1">
      <w:pPr>
        <w:pStyle w:val="BodyText"/>
        <w:ind w:left="270"/>
        <w:rPr>
          <w:rFonts w:asciiTheme="majorHAnsi" w:eastAsiaTheme="majorEastAsia" w:hAnsiTheme="majorHAnsi" w:cstheme="majorBidi"/>
          <w:b/>
          <w:bCs/>
          <w:color w:val="5967AF" w:themeColor="text2" w:themeTint="99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5E6115FF" wp14:editId="06EEEDB5">
            <wp:extent cx="5739130" cy="3128346"/>
            <wp:effectExtent l="76200" t="76200" r="71120" b="110490"/>
            <wp:docPr id="3506082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5-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74" cy="3129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961D5D" w14:textId="02FBBD5D" w:rsidR="006543D1" w:rsidRPr="004A6139" w:rsidRDefault="006543D1" w:rsidP="008963E5">
      <w:pPr>
        <w:pStyle w:val="Heading2"/>
        <w:numPr>
          <w:ilvl w:val="1"/>
          <w:numId w:val="2"/>
        </w:numPr>
        <w:rPr>
          <w:rFonts w:eastAsiaTheme="majorEastAsia"/>
        </w:rPr>
      </w:pPr>
      <w:r w:rsidRPr="004A6139">
        <w:rPr>
          <w:rFonts w:eastAsiaTheme="majorEastAsia"/>
        </w:rPr>
        <w:lastRenderedPageBreak/>
        <w:t>TReDS - Buyers and Sellers Onboarded</w:t>
      </w:r>
    </w:p>
    <w:p w14:paraId="3B8E929A" w14:textId="1B3450D6" w:rsidR="00121757" w:rsidRDefault="00681231" w:rsidP="006543D1">
      <w:pPr>
        <w:pStyle w:val="BodyText"/>
        <w:ind w:left="270"/>
      </w:pPr>
      <w:r>
        <w:rPr>
          <w:noProof/>
          <w:lang w:val="en-IN" w:eastAsia="en-IN"/>
        </w:rPr>
        <w:drawing>
          <wp:inline distT="0" distB="0" distL="0" distR="0" wp14:anchorId="410DF37D" wp14:editId="4F42E2C4">
            <wp:extent cx="5739130" cy="3394075"/>
            <wp:effectExtent l="95250" t="76200" r="90170" b="130175"/>
            <wp:docPr id="8776989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6-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68" cy="339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21757" w:rsidSect="00137427">
      <w:footerReference w:type="default" r:id="rId31"/>
      <w:pgSz w:w="12240" w:h="15840"/>
      <w:pgMar w:top="880" w:right="1440" w:bottom="1440" w:left="1440" w:header="576" w:footer="720" w:gutter="0"/>
      <w:pgBorders w:offsetFrom="page">
        <w:top w:val="dotted" w:sz="2" w:space="24" w:color="4E67C8" w:themeColor="accent1"/>
        <w:left w:val="dotted" w:sz="2" w:space="24" w:color="4E67C8" w:themeColor="accent1"/>
        <w:bottom w:val="dotted" w:sz="2" w:space="24" w:color="4E67C8" w:themeColor="accent1"/>
        <w:right w:val="dotted" w:sz="2" w:space="24" w:color="4E67C8" w:themeColor="accent1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DB1A4" w14:textId="77777777" w:rsidR="00C5017C" w:rsidRDefault="00C5017C">
      <w:pPr>
        <w:spacing w:after="0"/>
      </w:pPr>
      <w:r>
        <w:separator/>
      </w:r>
    </w:p>
  </w:endnote>
  <w:endnote w:type="continuationSeparator" w:id="0">
    <w:p w14:paraId="61586003" w14:textId="77777777" w:rsidR="00C5017C" w:rsidRDefault="00C501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8461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EDA44DF" w14:textId="6FE53326" w:rsidR="00137427" w:rsidRDefault="0013742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5C7" w:rsidRPr="005F75C7">
          <w:rPr>
            <w:b/>
            <w:bCs/>
            <w:noProof/>
          </w:rPr>
          <w:t>12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FA6795" w14:textId="77777777" w:rsidR="00137427" w:rsidRDefault="00137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6045E" w14:textId="77777777" w:rsidR="00C5017C" w:rsidRDefault="00C5017C">
      <w:r>
        <w:separator/>
      </w:r>
    </w:p>
  </w:footnote>
  <w:footnote w:type="continuationSeparator" w:id="0">
    <w:p w14:paraId="36CFC969" w14:textId="77777777" w:rsidR="00C5017C" w:rsidRDefault="00C50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99"/>
    <w:multiLevelType w:val="hybridMultilevel"/>
    <w:tmpl w:val="52C48C4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7738EA"/>
    <w:multiLevelType w:val="hybridMultilevel"/>
    <w:tmpl w:val="2DAEC4FA"/>
    <w:lvl w:ilvl="0" w:tplc="40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510C9"/>
    <w:multiLevelType w:val="hybridMultilevel"/>
    <w:tmpl w:val="5AE200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70AA5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8511B"/>
    <w:multiLevelType w:val="hybridMultilevel"/>
    <w:tmpl w:val="89C492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D757CF"/>
    <w:multiLevelType w:val="hybridMultilevel"/>
    <w:tmpl w:val="EB581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F370C"/>
    <w:multiLevelType w:val="hybridMultilevel"/>
    <w:tmpl w:val="0E5AD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20DC"/>
    <w:rsid w:val="0002360D"/>
    <w:rsid w:val="00024BE4"/>
    <w:rsid w:val="00030D3C"/>
    <w:rsid w:val="00061229"/>
    <w:rsid w:val="000714FC"/>
    <w:rsid w:val="000744ED"/>
    <w:rsid w:val="00077834"/>
    <w:rsid w:val="00083F75"/>
    <w:rsid w:val="00092505"/>
    <w:rsid w:val="000B36DD"/>
    <w:rsid w:val="000B6967"/>
    <w:rsid w:val="000B759A"/>
    <w:rsid w:val="000D14CB"/>
    <w:rsid w:val="000D598D"/>
    <w:rsid w:val="000D5DA6"/>
    <w:rsid w:val="000F039F"/>
    <w:rsid w:val="000F6DA6"/>
    <w:rsid w:val="00101063"/>
    <w:rsid w:val="00104431"/>
    <w:rsid w:val="00121757"/>
    <w:rsid w:val="001235F4"/>
    <w:rsid w:val="00124512"/>
    <w:rsid w:val="001258B7"/>
    <w:rsid w:val="00137427"/>
    <w:rsid w:val="00167C76"/>
    <w:rsid w:val="00171DF8"/>
    <w:rsid w:val="00172FF5"/>
    <w:rsid w:val="001A3063"/>
    <w:rsid w:val="001A3305"/>
    <w:rsid w:val="001B264F"/>
    <w:rsid w:val="001B32B7"/>
    <w:rsid w:val="001C5E4A"/>
    <w:rsid w:val="001D4C5F"/>
    <w:rsid w:val="001E0F1B"/>
    <w:rsid w:val="001E1A47"/>
    <w:rsid w:val="001E232B"/>
    <w:rsid w:val="001E7AF7"/>
    <w:rsid w:val="001F4187"/>
    <w:rsid w:val="0022106F"/>
    <w:rsid w:val="00221EBD"/>
    <w:rsid w:val="00230720"/>
    <w:rsid w:val="0023091F"/>
    <w:rsid w:val="00230C14"/>
    <w:rsid w:val="00252605"/>
    <w:rsid w:val="002604AD"/>
    <w:rsid w:val="00275208"/>
    <w:rsid w:val="0028327A"/>
    <w:rsid w:val="00284F5B"/>
    <w:rsid w:val="002918C1"/>
    <w:rsid w:val="00293FD1"/>
    <w:rsid w:val="002A6046"/>
    <w:rsid w:val="002B73D5"/>
    <w:rsid w:val="002C0F7D"/>
    <w:rsid w:val="002C62B0"/>
    <w:rsid w:val="002D34FB"/>
    <w:rsid w:val="002F17B7"/>
    <w:rsid w:val="002F49E8"/>
    <w:rsid w:val="002F4CDE"/>
    <w:rsid w:val="00300E94"/>
    <w:rsid w:val="0031183C"/>
    <w:rsid w:val="00315CA6"/>
    <w:rsid w:val="00336BA0"/>
    <w:rsid w:val="003372ED"/>
    <w:rsid w:val="0035043A"/>
    <w:rsid w:val="00354F17"/>
    <w:rsid w:val="00365529"/>
    <w:rsid w:val="00377651"/>
    <w:rsid w:val="00377B86"/>
    <w:rsid w:val="003804B3"/>
    <w:rsid w:val="00382EAA"/>
    <w:rsid w:val="00383BB8"/>
    <w:rsid w:val="0038781D"/>
    <w:rsid w:val="00387F37"/>
    <w:rsid w:val="0039464C"/>
    <w:rsid w:val="003B3F34"/>
    <w:rsid w:val="003B4E46"/>
    <w:rsid w:val="003C1FA0"/>
    <w:rsid w:val="003D2CE4"/>
    <w:rsid w:val="003D6874"/>
    <w:rsid w:val="003E4848"/>
    <w:rsid w:val="003E617E"/>
    <w:rsid w:val="003E703D"/>
    <w:rsid w:val="004150B4"/>
    <w:rsid w:val="00420092"/>
    <w:rsid w:val="004245FD"/>
    <w:rsid w:val="00425457"/>
    <w:rsid w:val="00425C72"/>
    <w:rsid w:val="00432DCD"/>
    <w:rsid w:val="00434FE5"/>
    <w:rsid w:val="00442CFA"/>
    <w:rsid w:val="004503B0"/>
    <w:rsid w:val="00462B27"/>
    <w:rsid w:val="00464BC2"/>
    <w:rsid w:val="0048758B"/>
    <w:rsid w:val="00492712"/>
    <w:rsid w:val="004A6139"/>
    <w:rsid w:val="004B6AB5"/>
    <w:rsid w:val="004C0D59"/>
    <w:rsid w:val="004C5849"/>
    <w:rsid w:val="004D2103"/>
    <w:rsid w:val="004E29B3"/>
    <w:rsid w:val="004F0B6F"/>
    <w:rsid w:val="004F5A32"/>
    <w:rsid w:val="00510AB3"/>
    <w:rsid w:val="005140EA"/>
    <w:rsid w:val="005211D7"/>
    <w:rsid w:val="00551A46"/>
    <w:rsid w:val="005536CF"/>
    <w:rsid w:val="00561E08"/>
    <w:rsid w:val="00582B74"/>
    <w:rsid w:val="00585D15"/>
    <w:rsid w:val="00590D07"/>
    <w:rsid w:val="00596844"/>
    <w:rsid w:val="005A3220"/>
    <w:rsid w:val="005A698C"/>
    <w:rsid w:val="005B120D"/>
    <w:rsid w:val="005B2EA0"/>
    <w:rsid w:val="005F16D6"/>
    <w:rsid w:val="005F75C7"/>
    <w:rsid w:val="005F7685"/>
    <w:rsid w:val="00611B46"/>
    <w:rsid w:val="00627751"/>
    <w:rsid w:val="00632E17"/>
    <w:rsid w:val="006341DD"/>
    <w:rsid w:val="006401DD"/>
    <w:rsid w:val="0064311A"/>
    <w:rsid w:val="006543D1"/>
    <w:rsid w:val="00654EC6"/>
    <w:rsid w:val="00663144"/>
    <w:rsid w:val="00674D4D"/>
    <w:rsid w:val="00681231"/>
    <w:rsid w:val="006867D0"/>
    <w:rsid w:val="00686B9E"/>
    <w:rsid w:val="006A31EC"/>
    <w:rsid w:val="006B44C0"/>
    <w:rsid w:val="006C4580"/>
    <w:rsid w:val="006D3872"/>
    <w:rsid w:val="006E1956"/>
    <w:rsid w:val="006F3FF4"/>
    <w:rsid w:val="006F5885"/>
    <w:rsid w:val="006F649B"/>
    <w:rsid w:val="00701388"/>
    <w:rsid w:val="00707BF3"/>
    <w:rsid w:val="007166D8"/>
    <w:rsid w:val="00727184"/>
    <w:rsid w:val="00746664"/>
    <w:rsid w:val="00772492"/>
    <w:rsid w:val="00784D58"/>
    <w:rsid w:val="007B2358"/>
    <w:rsid w:val="007C0371"/>
    <w:rsid w:val="007C6B77"/>
    <w:rsid w:val="007D0454"/>
    <w:rsid w:val="007D2228"/>
    <w:rsid w:val="007E521D"/>
    <w:rsid w:val="007E5984"/>
    <w:rsid w:val="007F5D56"/>
    <w:rsid w:val="00802E15"/>
    <w:rsid w:val="0082209C"/>
    <w:rsid w:val="008243F0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76FB9"/>
    <w:rsid w:val="00887C16"/>
    <w:rsid w:val="008963E5"/>
    <w:rsid w:val="008B6962"/>
    <w:rsid w:val="008D3D93"/>
    <w:rsid w:val="008D6863"/>
    <w:rsid w:val="008F3981"/>
    <w:rsid w:val="00912739"/>
    <w:rsid w:val="00920339"/>
    <w:rsid w:val="009321D8"/>
    <w:rsid w:val="00936476"/>
    <w:rsid w:val="00944716"/>
    <w:rsid w:val="00947CF0"/>
    <w:rsid w:val="009503D8"/>
    <w:rsid w:val="009641AE"/>
    <w:rsid w:val="00973BDC"/>
    <w:rsid w:val="0097554F"/>
    <w:rsid w:val="00996DB8"/>
    <w:rsid w:val="009B7573"/>
    <w:rsid w:val="009D64A0"/>
    <w:rsid w:val="009E2A45"/>
    <w:rsid w:val="009F2371"/>
    <w:rsid w:val="009F69DB"/>
    <w:rsid w:val="00A03B71"/>
    <w:rsid w:val="00A2018B"/>
    <w:rsid w:val="00A20E33"/>
    <w:rsid w:val="00A42899"/>
    <w:rsid w:val="00A45E69"/>
    <w:rsid w:val="00A5131F"/>
    <w:rsid w:val="00A570E2"/>
    <w:rsid w:val="00A63BB7"/>
    <w:rsid w:val="00A67FE7"/>
    <w:rsid w:val="00A83A9F"/>
    <w:rsid w:val="00A93FC5"/>
    <w:rsid w:val="00AA113D"/>
    <w:rsid w:val="00AB2530"/>
    <w:rsid w:val="00AB623C"/>
    <w:rsid w:val="00AC2DE5"/>
    <w:rsid w:val="00AC4589"/>
    <w:rsid w:val="00AD0270"/>
    <w:rsid w:val="00AD4604"/>
    <w:rsid w:val="00AE0B44"/>
    <w:rsid w:val="00AE2ACF"/>
    <w:rsid w:val="00AF4E45"/>
    <w:rsid w:val="00B23FF9"/>
    <w:rsid w:val="00B47360"/>
    <w:rsid w:val="00B555EC"/>
    <w:rsid w:val="00B563FC"/>
    <w:rsid w:val="00B61CFA"/>
    <w:rsid w:val="00B86B75"/>
    <w:rsid w:val="00B87687"/>
    <w:rsid w:val="00B9473B"/>
    <w:rsid w:val="00BA1804"/>
    <w:rsid w:val="00BA5392"/>
    <w:rsid w:val="00BA6A46"/>
    <w:rsid w:val="00BB2A78"/>
    <w:rsid w:val="00BC48D5"/>
    <w:rsid w:val="00BD2B36"/>
    <w:rsid w:val="00BE12ED"/>
    <w:rsid w:val="00BF6750"/>
    <w:rsid w:val="00BF70C5"/>
    <w:rsid w:val="00C10EBD"/>
    <w:rsid w:val="00C1128A"/>
    <w:rsid w:val="00C205C3"/>
    <w:rsid w:val="00C3308F"/>
    <w:rsid w:val="00C36279"/>
    <w:rsid w:val="00C5017C"/>
    <w:rsid w:val="00C616E9"/>
    <w:rsid w:val="00C8198B"/>
    <w:rsid w:val="00C90C1E"/>
    <w:rsid w:val="00C9387C"/>
    <w:rsid w:val="00C95A49"/>
    <w:rsid w:val="00CA0518"/>
    <w:rsid w:val="00CE7C91"/>
    <w:rsid w:val="00CF412F"/>
    <w:rsid w:val="00CF4F1A"/>
    <w:rsid w:val="00D0487C"/>
    <w:rsid w:val="00D20E5F"/>
    <w:rsid w:val="00D311AC"/>
    <w:rsid w:val="00D419AD"/>
    <w:rsid w:val="00D471AE"/>
    <w:rsid w:val="00D57C28"/>
    <w:rsid w:val="00D61FA7"/>
    <w:rsid w:val="00D800BE"/>
    <w:rsid w:val="00D85338"/>
    <w:rsid w:val="00D92043"/>
    <w:rsid w:val="00D92653"/>
    <w:rsid w:val="00DA390C"/>
    <w:rsid w:val="00DA6ED0"/>
    <w:rsid w:val="00DB19FE"/>
    <w:rsid w:val="00DD5715"/>
    <w:rsid w:val="00DE0692"/>
    <w:rsid w:val="00DF218B"/>
    <w:rsid w:val="00DF3CAB"/>
    <w:rsid w:val="00DF7087"/>
    <w:rsid w:val="00E10C11"/>
    <w:rsid w:val="00E111B6"/>
    <w:rsid w:val="00E25C6A"/>
    <w:rsid w:val="00E30065"/>
    <w:rsid w:val="00E30686"/>
    <w:rsid w:val="00E315A3"/>
    <w:rsid w:val="00E36935"/>
    <w:rsid w:val="00E40312"/>
    <w:rsid w:val="00E463F7"/>
    <w:rsid w:val="00E545A1"/>
    <w:rsid w:val="00E57CF7"/>
    <w:rsid w:val="00E63AAB"/>
    <w:rsid w:val="00E6565C"/>
    <w:rsid w:val="00E65B83"/>
    <w:rsid w:val="00E8004E"/>
    <w:rsid w:val="00E8426D"/>
    <w:rsid w:val="00E868D3"/>
    <w:rsid w:val="00E87154"/>
    <w:rsid w:val="00E92781"/>
    <w:rsid w:val="00E947D8"/>
    <w:rsid w:val="00EA7AAD"/>
    <w:rsid w:val="00EB4AB0"/>
    <w:rsid w:val="00EC632F"/>
    <w:rsid w:val="00ED1410"/>
    <w:rsid w:val="00ED1BED"/>
    <w:rsid w:val="00ED226B"/>
    <w:rsid w:val="00EE1241"/>
    <w:rsid w:val="00EE7687"/>
    <w:rsid w:val="00EF1128"/>
    <w:rsid w:val="00EF28AE"/>
    <w:rsid w:val="00EF46B8"/>
    <w:rsid w:val="00F513AB"/>
    <w:rsid w:val="00F73A7D"/>
    <w:rsid w:val="00F7586A"/>
    <w:rsid w:val="00FA419D"/>
    <w:rsid w:val="00FA7CF1"/>
    <w:rsid w:val="00FB132B"/>
    <w:rsid w:val="00FB7003"/>
    <w:rsid w:val="00FC0490"/>
    <w:rsid w:val="00FE55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32F"/>
  </w:style>
  <w:style w:type="paragraph" w:styleId="Heading1">
    <w:name w:val="heading 1"/>
    <w:basedOn w:val="Normal"/>
    <w:next w:val="Normal"/>
    <w:link w:val="Heading1Char"/>
    <w:uiPriority w:val="9"/>
    <w:qFormat/>
    <w:rsid w:val="00EC632F"/>
    <w:pPr>
      <w:pBdr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pBdr>
      <w:shd w:val="clear" w:color="auto" w:fill="4E67C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632F"/>
    <w:pPr>
      <w:pBdr>
        <w:top w:val="single" w:sz="24" w:space="0" w:color="DBE0F4" w:themeColor="accent1" w:themeTint="33"/>
        <w:left w:val="single" w:sz="24" w:space="0" w:color="DBE0F4" w:themeColor="accent1" w:themeTint="33"/>
        <w:bottom w:val="single" w:sz="24" w:space="0" w:color="DBE0F4" w:themeColor="accent1" w:themeTint="33"/>
        <w:right w:val="single" w:sz="24" w:space="0" w:color="DBE0F4" w:themeColor="accent1" w:themeTint="33"/>
      </w:pBdr>
      <w:shd w:val="clear" w:color="auto" w:fill="DBE0F4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632F"/>
    <w:pPr>
      <w:pBdr>
        <w:top w:val="single" w:sz="6" w:space="2" w:color="4E67C8" w:themeColor="accent1"/>
      </w:pBdr>
      <w:spacing w:before="300" w:after="0"/>
      <w:outlineLvl w:val="2"/>
    </w:pPr>
    <w:rPr>
      <w:caps/>
      <w:color w:val="202F69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32F"/>
    <w:pPr>
      <w:pBdr>
        <w:top w:val="dotted" w:sz="6" w:space="2" w:color="4E67C8" w:themeColor="accent1"/>
      </w:pBdr>
      <w:spacing w:before="200" w:after="0"/>
      <w:outlineLvl w:val="3"/>
    </w:pPr>
    <w:rPr>
      <w:caps/>
      <w:color w:val="31479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632F"/>
    <w:pPr>
      <w:pBdr>
        <w:bottom w:val="single" w:sz="6" w:space="1" w:color="4E67C8" w:themeColor="accent1"/>
      </w:pBdr>
      <w:spacing w:before="200" w:after="0"/>
      <w:outlineLvl w:val="4"/>
    </w:pPr>
    <w:rPr>
      <w:caps/>
      <w:color w:val="31479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632F"/>
    <w:pPr>
      <w:pBdr>
        <w:bottom w:val="dotted" w:sz="6" w:space="1" w:color="4E67C8" w:themeColor="accent1"/>
      </w:pBdr>
      <w:spacing w:before="200" w:after="0"/>
      <w:outlineLvl w:val="5"/>
    </w:pPr>
    <w:rPr>
      <w:caps/>
      <w:color w:val="31479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C632F"/>
    <w:pPr>
      <w:spacing w:before="200" w:after="0"/>
      <w:outlineLvl w:val="6"/>
    </w:pPr>
    <w:rPr>
      <w:caps/>
      <w:color w:val="31479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C632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C632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180" w:after="180"/>
    </w:pPr>
  </w:style>
  <w:style w:type="paragraph" w:customStyle="1" w:styleId="FirstParagraph">
    <w:name w:val="First Paragraph"/>
    <w:basedOn w:val="BodyText"/>
    <w:next w:val="BodyText"/>
  </w:style>
  <w:style w:type="paragraph" w:customStyle="1" w:styleId="Compact">
    <w:name w:val="Compact"/>
    <w:basedOn w:val="BodyText"/>
    <w:pPr>
      <w:spacing w:before="36" w:after="36"/>
    </w:pPr>
  </w:style>
  <w:style w:type="paragraph" w:styleId="Title">
    <w:name w:val="Title"/>
    <w:basedOn w:val="Normal"/>
    <w:next w:val="Normal"/>
    <w:link w:val="TitleChar"/>
    <w:uiPriority w:val="10"/>
    <w:qFormat/>
    <w:rsid w:val="00EC632F"/>
    <w:pPr>
      <w:spacing w:before="0" w:after="0"/>
    </w:pPr>
    <w:rPr>
      <w:rFonts w:asciiTheme="majorHAnsi" w:eastAsiaTheme="majorEastAsia" w:hAnsiTheme="majorHAnsi" w:cstheme="majorBidi"/>
      <w:caps/>
      <w:color w:val="4E67C8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32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paragraph" w:customStyle="1" w:styleId="Author">
    <w:name w:val="Author"/>
    <w:next w:val="BodyText"/>
    <w:pPr>
      <w:keepNext/>
      <w:keepLines/>
      <w:jc w:val="center"/>
    </w:pPr>
  </w:style>
  <w:style w:type="paragraph" w:styleId="Date">
    <w:name w:val="Date"/>
    <w:next w:val="BodyText"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pPr>
      <w:keepNext/>
      <w:keepLines/>
      <w:spacing w:before="300" w:after="300"/>
    </w:pPr>
  </w:style>
  <w:style w:type="paragraph" w:styleId="Bibliography">
    <w:name w:val="Bibliography"/>
    <w:basedOn w:val="Normal"/>
  </w:style>
  <w:style w:type="paragraph" w:styleId="BlockText">
    <w:name w:val="Block Text"/>
    <w:basedOn w:val="BodyText"/>
    <w:next w:val="BodyText"/>
    <w:uiPriority w:val="9"/>
    <w:unhideWhenUsed/>
    <w:pPr>
      <w:spacing w:before="100" w:after="100"/>
    </w:pPr>
    <w:rPr>
      <w:rFonts w:asciiTheme="majorHAnsi" w:eastAsiaTheme="majorEastAsia" w:hAnsiTheme="majorHAnsi" w:cstheme="majorBidi"/>
      <w:bCs/>
    </w:rPr>
  </w:style>
  <w:style w:type="paragraph" w:styleId="FootnoteText">
    <w:name w:val="footnote text"/>
    <w:basedOn w:val="Normal"/>
    <w:uiPriority w:val="9"/>
    <w:unhideWhenUsed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C632F"/>
    <w:rPr>
      <w:b/>
      <w:bCs/>
      <w:color w:val="31479E" w:themeColor="accent1" w:themeShade="BF"/>
      <w:sz w:val="16"/>
      <w:szCs w:val="16"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  <w:uiPriority w:val="35"/>
    <w:rPr>
      <w:b/>
      <w:bCs/>
      <w:color w:val="31479E" w:themeColor="accent1" w:themeShade="BF"/>
      <w:sz w:val="16"/>
      <w:szCs w:val="16"/>
    </w:rPr>
  </w:style>
  <w:style w:type="character" w:customStyle="1" w:styleId="VerbatimChar">
    <w:name w:val="Verbatim Char"/>
    <w:basedOn w:val="CaptionChar"/>
    <w:link w:val="SourceCode"/>
    <w:rPr>
      <w:rFonts w:ascii="Consolas" w:hAnsi="Consolas"/>
      <w:b/>
      <w:bCs/>
      <w:color w:val="31479E" w:themeColor="accent1" w:themeShade="BF"/>
      <w:sz w:val="22"/>
      <w:szCs w:val="16"/>
    </w:rPr>
  </w:style>
  <w:style w:type="character" w:styleId="FootnoteReference">
    <w:name w:val="footnote reference"/>
    <w:basedOn w:val="CaptionChar"/>
    <w:rPr>
      <w:b/>
      <w:bCs/>
      <w:color w:val="31479E" w:themeColor="accent1" w:themeShade="BF"/>
      <w:sz w:val="16"/>
      <w:szCs w:val="16"/>
      <w:vertAlign w:val="superscript"/>
    </w:rPr>
  </w:style>
  <w:style w:type="character" w:styleId="Hyperlink">
    <w:name w:val="Hyperlink"/>
    <w:basedOn w:val="CaptionChar"/>
    <w:uiPriority w:val="99"/>
    <w:rPr>
      <w:b/>
      <w:bCs/>
      <w:color w:val="4E67C8" w:themeColor="accent1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C632F"/>
    <w:pPr>
      <w:outlineLvl w:val="9"/>
    </w:p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 w:val="0"/>
      <w:bCs/>
      <w:color w:val="204A87"/>
      <w:sz w:val="22"/>
      <w:szCs w:val="16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b/>
      <w:bCs/>
      <w:color w:val="204A87"/>
      <w:sz w:val="22"/>
      <w:szCs w:val="16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b/>
      <w:bCs/>
      <w:color w:val="0000CF"/>
      <w:sz w:val="22"/>
      <w:szCs w:val="16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b/>
      <w:bCs/>
      <w:color w:val="0000CF"/>
      <w:sz w:val="22"/>
      <w:szCs w:val="16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b/>
      <w:bCs/>
      <w:color w:val="0000CF"/>
      <w:sz w:val="22"/>
      <w:szCs w:val="16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b/>
      <w:bCs/>
      <w:color w:val="31479E" w:themeColor="accent1" w:themeShade="BF"/>
      <w:sz w:val="22"/>
      <w:szCs w:val="16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b/>
      <w:bCs/>
      <w:i/>
      <w:color w:val="8F5902"/>
      <w:sz w:val="22"/>
      <w:szCs w:val="16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b/>
      <w:bCs/>
      <w:color w:val="8F5902"/>
      <w:sz w:val="22"/>
      <w:szCs w:val="16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 w:val="0"/>
      <w:bCs/>
      <w:color w:val="204A87"/>
      <w:sz w:val="22"/>
      <w:szCs w:val="16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 w:val="0"/>
      <w:bCs/>
      <w:color w:val="CE5C00"/>
      <w:sz w:val="22"/>
      <w:szCs w:val="16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b/>
      <w:bCs/>
      <w:color w:val="31479E" w:themeColor="accent1" w:themeShade="BF"/>
      <w:sz w:val="22"/>
      <w:szCs w:val="16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b/>
      <w:bCs/>
      <w:color w:val="31479E" w:themeColor="accent1" w:themeShade="BF"/>
      <w:sz w:val="22"/>
      <w:szCs w:val="16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b/>
      <w:bCs/>
      <w:i/>
      <w:color w:val="8F5902"/>
      <w:sz w:val="22"/>
      <w:szCs w:val="16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b/>
      <w:bCs/>
      <w:color w:val="C4A000"/>
      <w:sz w:val="22"/>
      <w:szCs w:val="16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b/>
      <w:bCs/>
      <w:color w:val="31479E" w:themeColor="accent1" w:themeShade="BF"/>
      <w:sz w:val="22"/>
      <w:szCs w:val="16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b/>
      <w:bCs/>
      <w:color w:val="EF2929"/>
      <w:sz w:val="22"/>
      <w:szCs w:val="16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 w:val="0"/>
      <w:bCs/>
      <w:color w:val="A40000"/>
      <w:sz w:val="22"/>
      <w:szCs w:val="16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b/>
      <w:bCs/>
      <w:color w:val="31479E" w:themeColor="accent1" w:themeShade="BF"/>
      <w:sz w:val="22"/>
      <w:szCs w:val="16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4C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C632F"/>
    <w:rPr>
      <w:caps/>
      <w:color w:val="FFFFFF" w:themeColor="background1"/>
      <w:spacing w:val="15"/>
      <w:sz w:val="22"/>
      <w:szCs w:val="22"/>
      <w:shd w:val="clear" w:color="auto" w:fill="4E67C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C632F"/>
    <w:rPr>
      <w:caps/>
      <w:spacing w:val="15"/>
      <w:shd w:val="clear" w:color="auto" w:fill="DBE0F4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C632F"/>
    <w:rPr>
      <w:caps/>
      <w:color w:val="202F69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EC632F"/>
    <w:rPr>
      <w:caps/>
      <w:color w:val="31479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EC632F"/>
    <w:rPr>
      <w:caps/>
      <w:color w:val="31479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C632F"/>
    <w:rPr>
      <w:caps/>
      <w:color w:val="31479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EC632F"/>
    <w:rPr>
      <w:caps/>
      <w:color w:val="31479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EC632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EC632F"/>
    <w:rPr>
      <w:i/>
      <w:iCs/>
      <w:caps/>
      <w:spacing w:val="1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EC632F"/>
    <w:rPr>
      <w:rFonts w:asciiTheme="majorHAnsi" w:eastAsiaTheme="majorEastAsia" w:hAnsiTheme="majorHAnsi" w:cstheme="majorBidi"/>
      <w:caps/>
      <w:color w:val="4E67C8" w:themeColor="accent1"/>
      <w:spacing w:val="10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EC632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EC632F"/>
    <w:rPr>
      <w:b/>
      <w:bCs/>
    </w:rPr>
  </w:style>
  <w:style w:type="character" w:styleId="Emphasis">
    <w:name w:val="Emphasis"/>
    <w:uiPriority w:val="20"/>
    <w:qFormat/>
    <w:rsid w:val="00EC632F"/>
    <w:rPr>
      <w:caps/>
      <w:color w:val="202F69" w:themeColor="accent1" w:themeShade="7F"/>
      <w:spacing w:val="5"/>
    </w:rPr>
  </w:style>
  <w:style w:type="paragraph" w:styleId="NoSpacing">
    <w:name w:val="No Spacing"/>
    <w:uiPriority w:val="1"/>
    <w:qFormat/>
    <w:rsid w:val="00EC63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632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C632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32F"/>
    <w:pPr>
      <w:spacing w:before="240" w:after="240" w:line="240" w:lineRule="auto"/>
      <w:ind w:left="1080" w:right="1080"/>
      <w:jc w:val="center"/>
    </w:pPr>
    <w:rPr>
      <w:color w:val="4E67C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32F"/>
    <w:rPr>
      <w:color w:val="4E67C8" w:themeColor="accent1"/>
      <w:sz w:val="24"/>
      <w:szCs w:val="24"/>
    </w:rPr>
  </w:style>
  <w:style w:type="character" w:styleId="SubtleEmphasis">
    <w:name w:val="Subtle Emphasis"/>
    <w:uiPriority w:val="19"/>
    <w:qFormat/>
    <w:rsid w:val="00EC632F"/>
    <w:rPr>
      <w:i/>
      <w:iCs/>
      <w:color w:val="202F69" w:themeColor="accent1" w:themeShade="7F"/>
    </w:rPr>
  </w:style>
  <w:style w:type="character" w:styleId="IntenseEmphasis">
    <w:name w:val="Intense Emphasis"/>
    <w:uiPriority w:val="21"/>
    <w:qFormat/>
    <w:rsid w:val="00EC632F"/>
    <w:rPr>
      <w:b/>
      <w:bCs/>
      <w:caps/>
      <w:color w:val="202F69" w:themeColor="accent1" w:themeShade="7F"/>
      <w:spacing w:val="10"/>
    </w:rPr>
  </w:style>
  <w:style w:type="character" w:styleId="SubtleReference">
    <w:name w:val="Subtle Reference"/>
    <w:uiPriority w:val="31"/>
    <w:qFormat/>
    <w:rsid w:val="00EC632F"/>
    <w:rPr>
      <w:b/>
      <w:bCs/>
      <w:color w:val="4E67C8" w:themeColor="accent1"/>
    </w:rPr>
  </w:style>
  <w:style w:type="character" w:styleId="IntenseReference">
    <w:name w:val="Intense Reference"/>
    <w:uiPriority w:val="32"/>
    <w:qFormat/>
    <w:rsid w:val="00EC632F"/>
    <w:rPr>
      <w:b/>
      <w:bCs/>
      <w:i/>
      <w:iCs/>
      <w:caps/>
      <w:color w:val="4E67C8" w:themeColor="accent1"/>
    </w:rPr>
  </w:style>
  <w:style w:type="character" w:styleId="BookTitle">
    <w:name w:val="Book Title"/>
    <w:uiPriority w:val="33"/>
    <w:qFormat/>
    <w:rsid w:val="00EC632F"/>
    <w:rPr>
      <w:b/>
      <w:bCs/>
      <w:i/>
      <w:iCs/>
      <w:spacing w:val="0"/>
    </w:rPr>
  </w:style>
  <w:style w:type="paragraph" w:styleId="Header">
    <w:name w:val="header"/>
    <w:basedOn w:val="Normal"/>
    <w:link w:val="HeaderChar"/>
    <w:unhideWhenUsed/>
    <w:rsid w:val="0013742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137427"/>
  </w:style>
  <w:style w:type="paragraph" w:styleId="Footer">
    <w:name w:val="footer"/>
    <w:basedOn w:val="Normal"/>
    <w:link w:val="FooterChar"/>
    <w:uiPriority w:val="99"/>
    <w:unhideWhenUsed/>
    <w:rsid w:val="0013742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A0BBE-54ED-44CA-8EBE-AD45CA326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539</Words>
  <Characters>3111</Characters>
  <Application>Microsoft Office Word</Application>
  <DocSecurity>0</DocSecurity>
  <Lines>77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8</cp:revision>
  <dcterms:created xsi:type="dcterms:W3CDTF">2023-05-22T10:04:00Z</dcterms:created>
  <dcterms:modified xsi:type="dcterms:W3CDTF">2023-05-22T13:00:00Z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