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D4F586D" w14:textId="2C94B595" w:rsidR="00121757" w:rsidRDefault="00AC4589" w:rsidP="00915C33">
      <w:pPr>
        <w:pStyle w:val="Title"/>
        <w:spacing w:before="0" w:after="0" w:line="360" w:lineRule="auto"/>
      </w:pPr>
      <w:r>
        <w:t xml:space="preserve">Monthly </w:t>
      </w:r>
      <w:r w:rsidR="00425C72">
        <w:t>P</w:t>
      </w:r>
      <w:r>
        <w:t xml:space="preserve">ayment </w:t>
      </w:r>
      <w:r w:rsidR="00425C72">
        <w:t>S</w:t>
      </w:r>
      <w:r>
        <w:t xml:space="preserve">ystem </w:t>
      </w:r>
      <w:r w:rsidR="00425C72">
        <w:t xml:space="preserve">Indicators </w:t>
      </w:r>
      <w:r w:rsidR="000F6DA6">
        <w:t>–</w:t>
      </w:r>
      <w:r>
        <w:t xml:space="preserve"> </w:t>
      </w:r>
      <w:r w:rsidR="00014EEF">
        <w:t>July</w:t>
      </w:r>
      <w:r>
        <w:t xml:space="preserve"> 202</w:t>
      </w:r>
      <w:r w:rsidR="009641AE">
        <w:t>2</w:t>
      </w:r>
    </w:p>
    <w:p w14:paraId="0550A0B6" w14:textId="436FF3E6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0" w:name="digital-payments"/>
      <w:bookmarkStart w:id="1" w:name="_Toc93802250"/>
      <w:r>
        <w:t xml:space="preserve">Digital </w:t>
      </w:r>
      <w:r w:rsidR="00425C72">
        <w:t>P</w:t>
      </w:r>
      <w:r>
        <w:t>ayments</w:t>
      </w:r>
      <w:bookmarkEnd w:id="0"/>
      <w:bookmarkEnd w:id="1"/>
      <w:r w:rsidR="00300E94">
        <w:t xml:space="preserve"> </w:t>
      </w:r>
      <w:r w:rsidR="00920339">
        <w:t xml:space="preserve">– </w:t>
      </w:r>
      <w:r w:rsidR="00300E94">
        <w:t>Volume and Value</w:t>
      </w:r>
    </w:p>
    <w:p w14:paraId="7B0102E5" w14:textId="41820768" w:rsidR="00121757" w:rsidRDefault="00C8198B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3462EA70" wp14:editId="260125BC">
            <wp:extent cx="5903504" cy="3084195"/>
            <wp:effectExtent l="0" t="0" r="2540" b="1905"/>
            <wp:docPr id="1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2-1.pn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000" cy="309072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4A30D0C" w14:textId="7BF60A02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sz w:val="18"/>
          <w:szCs w:val="18"/>
        </w:rPr>
        <w:t xml:space="preserve">: </w:t>
      </w:r>
      <w:r w:rsidRPr="003E617E">
        <w:rPr>
          <w:i/>
          <w:iCs/>
          <w:sz w:val="18"/>
          <w:szCs w:val="18"/>
        </w:rPr>
        <w:t>Digital payment</w:t>
      </w:r>
      <w:r w:rsidR="00F7586A">
        <w:rPr>
          <w:i/>
          <w:iCs/>
          <w:sz w:val="18"/>
          <w:szCs w:val="18"/>
        </w:rPr>
        <w:t>s</w:t>
      </w:r>
      <w:r w:rsidRPr="003E617E">
        <w:rPr>
          <w:i/>
          <w:iCs/>
          <w:sz w:val="18"/>
          <w:szCs w:val="18"/>
        </w:rPr>
        <w:t xml:space="preserve"> include RTGS (customer and inter</w:t>
      </w:r>
      <w:r w:rsidR="00F7586A">
        <w:rPr>
          <w:i/>
          <w:iCs/>
          <w:sz w:val="18"/>
          <w:szCs w:val="18"/>
        </w:rPr>
        <w:t>-</w:t>
      </w:r>
      <w:r w:rsidRPr="003E617E">
        <w:rPr>
          <w:i/>
          <w:iCs/>
          <w:sz w:val="18"/>
          <w:szCs w:val="18"/>
        </w:rPr>
        <w:t>bank transactions), retail electronic clearing –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>, card</w:t>
      </w:r>
      <w:r w:rsidR="00E947D8">
        <w:rPr>
          <w:i/>
          <w:iCs/>
          <w:sz w:val="18"/>
          <w:szCs w:val="18"/>
        </w:rPr>
        <w:t xml:space="preserve"> payment</w:t>
      </w:r>
      <w:r w:rsidRPr="003E617E">
        <w:rPr>
          <w:i/>
          <w:iCs/>
          <w:sz w:val="18"/>
          <w:szCs w:val="18"/>
        </w:rPr>
        <w:t xml:space="preserve"> 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>.</w:t>
      </w:r>
    </w:p>
    <w:p w14:paraId="1A2E001C" w14:textId="77777777" w:rsidR="000F6DA6" w:rsidRPr="000F6DA6" w:rsidRDefault="000F6DA6" w:rsidP="000F6DA6">
      <w:pPr>
        <w:pStyle w:val="BodyText"/>
      </w:pPr>
    </w:p>
    <w:p w14:paraId="70D905EC" w14:textId="153D6574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2" w:name="total-retail-payments"/>
      <w:bookmarkStart w:id="3" w:name="_Toc93802251"/>
      <w:r>
        <w:t xml:space="preserve">Retail </w:t>
      </w:r>
      <w:r w:rsidR="00425C72">
        <w:t>P</w:t>
      </w:r>
      <w:r>
        <w:t>ayments</w:t>
      </w:r>
      <w:bookmarkEnd w:id="2"/>
      <w:bookmarkEnd w:id="3"/>
      <w:r w:rsidR="00920339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36A98A51" w14:textId="5A5EE589" w:rsidR="00121757" w:rsidRDefault="00C8198B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0598A7BE" wp14:editId="59E5DCCD">
            <wp:extent cx="5897860" cy="2929499"/>
            <wp:effectExtent l="0" t="0" r="0" b="4445"/>
            <wp:docPr id="2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9936" cy="293549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2CB33D" w14:textId="05CB59BC" w:rsidR="00425C72" w:rsidRDefault="00425C72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>: Retail payments include NEFT, IMPS, NACH</w:t>
      </w:r>
      <w:r w:rsidR="00354F17">
        <w:rPr>
          <w:i/>
          <w:iCs/>
          <w:sz w:val="18"/>
          <w:szCs w:val="18"/>
        </w:rPr>
        <w:t xml:space="preserve"> (credit, debit and APBS)</w:t>
      </w:r>
      <w:r w:rsidRPr="003E617E">
        <w:rPr>
          <w:i/>
          <w:iCs/>
          <w:sz w:val="18"/>
          <w:szCs w:val="18"/>
        </w:rPr>
        <w:t xml:space="preserve">, card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 xml:space="preserve">transactions (excl. cash withdrawal), PPI </w:t>
      </w:r>
      <w:r w:rsidR="00E947D8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</w:t>
      </w:r>
      <w:r w:rsidR="00354F17">
        <w:rPr>
          <w:i/>
          <w:iCs/>
          <w:sz w:val="18"/>
          <w:szCs w:val="18"/>
        </w:rPr>
        <w:t xml:space="preserve"> (excl. cash withdrawal)</w:t>
      </w:r>
      <w:r w:rsidRPr="003E617E">
        <w:rPr>
          <w:i/>
          <w:iCs/>
          <w:sz w:val="18"/>
          <w:szCs w:val="18"/>
        </w:rPr>
        <w:t>, UPI (including BHIM &amp; USSD), BHIM Aadhaar Pay, AePS fund transfer</w:t>
      </w:r>
      <w:r w:rsidR="00F7586A">
        <w:rPr>
          <w:i/>
          <w:iCs/>
          <w:sz w:val="18"/>
          <w:szCs w:val="18"/>
        </w:rPr>
        <w:t xml:space="preserve"> and</w:t>
      </w:r>
      <w:r w:rsidRPr="003E617E">
        <w:rPr>
          <w:i/>
          <w:iCs/>
          <w:sz w:val="18"/>
          <w:szCs w:val="18"/>
        </w:rPr>
        <w:t xml:space="preserve"> NETC</w:t>
      </w:r>
      <w:r w:rsidR="00354F17">
        <w:rPr>
          <w:i/>
          <w:iCs/>
          <w:sz w:val="18"/>
          <w:szCs w:val="18"/>
        </w:rPr>
        <w:t xml:space="preserve"> (linked to bank accounts)</w:t>
      </w:r>
      <w:r w:rsidRPr="003E617E">
        <w:rPr>
          <w:i/>
          <w:iCs/>
          <w:sz w:val="18"/>
          <w:szCs w:val="18"/>
        </w:rPr>
        <w:t xml:space="preserve"> and </w:t>
      </w:r>
      <w:r w:rsidR="00F7586A">
        <w:rPr>
          <w:i/>
          <w:iCs/>
          <w:sz w:val="18"/>
          <w:szCs w:val="18"/>
        </w:rPr>
        <w:t>p</w:t>
      </w:r>
      <w:r w:rsidRPr="003E617E">
        <w:rPr>
          <w:i/>
          <w:iCs/>
          <w:sz w:val="18"/>
          <w:szCs w:val="18"/>
        </w:rPr>
        <w:t xml:space="preserve">aper clearing. </w:t>
      </w:r>
    </w:p>
    <w:p w14:paraId="0A6B4C5E" w14:textId="41CEBFAA" w:rsidR="000F6DA6" w:rsidRPr="000F6DA6" w:rsidRDefault="00AC4589" w:rsidP="009B7573">
      <w:pPr>
        <w:pStyle w:val="Heading1"/>
        <w:numPr>
          <w:ilvl w:val="0"/>
          <w:numId w:val="2"/>
        </w:numPr>
        <w:spacing w:before="0"/>
        <w:jc w:val="both"/>
      </w:pPr>
      <w:bookmarkStart w:id="4" w:name="cards-and-ppi"/>
      <w:bookmarkStart w:id="5" w:name="_Toc93802252"/>
      <w:r>
        <w:lastRenderedPageBreak/>
        <w:t xml:space="preserve">Cards and </w:t>
      </w:r>
      <w:r w:rsidR="00300E94">
        <w:t xml:space="preserve">Prepaid Payment </w:t>
      </w:r>
      <w:r w:rsidR="00300E94" w:rsidRPr="007D0454">
        <w:t>Instruments (</w:t>
      </w:r>
      <w:r>
        <w:t>PPI</w:t>
      </w:r>
      <w:bookmarkEnd w:id="4"/>
      <w:bookmarkEnd w:id="5"/>
      <w:r w:rsidR="00300E94">
        <w:t>s)</w:t>
      </w:r>
      <w:r w:rsidR="00354F17">
        <w:t xml:space="preserve"> –</w:t>
      </w:r>
      <w:r w:rsidR="00300E94" w:rsidRPr="00300E94">
        <w:t xml:space="preserve"> </w:t>
      </w:r>
      <w:r w:rsidR="00300E94">
        <w:t>Volume and Value</w:t>
      </w:r>
    </w:p>
    <w:p w14:paraId="7934785D" w14:textId="4E97C822" w:rsidR="00121757" w:rsidRDefault="0002360D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2FE5A222" wp14:editId="22F3CE6A">
            <wp:extent cx="5898515" cy="3139177"/>
            <wp:effectExtent l="0" t="0" r="0" b="0"/>
            <wp:docPr id="3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4-1.pn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6643" cy="3143503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EAA95DE" w14:textId="262067D1" w:rsidR="00300E94" w:rsidRDefault="00300E9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: Cards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PPI</w:t>
      </w:r>
      <w:r w:rsidR="007D0454" w:rsidRPr="003E617E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</w:t>
      </w:r>
      <w:r w:rsidRPr="003E617E">
        <w:rPr>
          <w:i/>
          <w:iCs/>
          <w:sz w:val="18"/>
          <w:szCs w:val="18"/>
        </w:rPr>
        <w:t xml:space="preserve">include wallet and PPI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</w:t>
      </w:r>
      <w:r w:rsidR="00F7586A">
        <w:rPr>
          <w:i/>
          <w:iCs/>
          <w:sz w:val="18"/>
          <w:szCs w:val="18"/>
        </w:rPr>
        <w:t>s</w:t>
      </w:r>
      <w:r w:rsidR="00354F17">
        <w:rPr>
          <w:i/>
          <w:iCs/>
          <w:sz w:val="18"/>
          <w:szCs w:val="18"/>
        </w:rPr>
        <w:t xml:space="preserve"> (excl. cash withdrawal).</w:t>
      </w:r>
    </w:p>
    <w:p w14:paraId="6D3FCF2F" w14:textId="77777777" w:rsidR="000F6DA6" w:rsidRPr="00083F75" w:rsidRDefault="000F6DA6" w:rsidP="000F6DA6">
      <w:pPr>
        <w:pStyle w:val="BodyText"/>
        <w:rPr>
          <w:sz w:val="2"/>
          <w:szCs w:val="2"/>
        </w:rPr>
      </w:pPr>
    </w:p>
    <w:p w14:paraId="694D45F5" w14:textId="01D6E4E0" w:rsidR="00121757" w:rsidRDefault="00AC4589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6" w:name="X0cb0fa43a749f840d797c2aa55ba6da3b60cbfe"/>
      <w:bookmarkStart w:id="7" w:name="_Toc93802254"/>
      <w:r>
        <w:t xml:space="preserve">Comparison of NPCI, RBI and </w:t>
      </w:r>
      <w:r w:rsidR="007D0454">
        <w:t>O</w:t>
      </w:r>
      <w:r>
        <w:t xml:space="preserve">ther </w:t>
      </w:r>
      <w:r w:rsidR="007D0454">
        <w:t>P</w:t>
      </w:r>
      <w:r>
        <w:t xml:space="preserve">ayment </w:t>
      </w:r>
      <w:r w:rsidR="007D0454">
        <w:t>S</w:t>
      </w:r>
      <w:r>
        <w:t>ystems</w:t>
      </w:r>
      <w:bookmarkEnd w:id="6"/>
      <w:bookmarkEnd w:id="7"/>
    </w:p>
    <w:p w14:paraId="10F615EC" w14:textId="292D9611" w:rsidR="00121757" w:rsidRDefault="0002360D" w:rsidP="000F6DA6">
      <w:pPr>
        <w:pStyle w:val="BodyText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54E2D939" wp14:editId="67BB8A14">
            <wp:extent cx="6055995" cy="3019303"/>
            <wp:effectExtent l="0" t="0" r="1905" b="3810"/>
            <wp:docPr id="5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6-1.png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64250" cy="3023419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65180FA3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0318CCB8" w14:textId="10C30BB5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RBI payment systems</w:t>
      </w:r>
      <w:r w:rsidRPr="003E617E">
        <w:rPr>
          <w:i/>
          <w:iCs/>
          <w:sz w:val="18"/>
          <w:szCs w:val="18"/>
        </w:rPr>
        <w:t xml:space="preserve"> include RTGS (customer and inter-bank transactions) and NEFT. </w:t>
      </w:r>
    </w:p>
    <w:p w14:paraId="23E1DFF8" w14:textId="77777777" w:rsidR="00F7586A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NPCI payment systems</w:t>
      </w:r>
      <w:r w:rsidRPr="003E617E">
        <w:rPr>
          <w:i/>
          <w:iCs/>
          <w:sz w:val="18"/>
          <w:szCs w:val="18"/>
        </w:rPr>
        <w:t xml:space="preserve"> include IMPS, NACH, UPI (including BHIM &amp; USSD), BHIM Aadhaar Pay, AePS fund transfer and NETC (linked to bank account). </w:t>
      </w:r>
    </w:p>
    <w:p w14:paraId="0DF1CECA" w14:textId="31C3C97D" w:rsidR="007D0454" w:rsidRPr="003E617E" w:rsidRDefault="007D0454" w:rsidP="000F6DA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Other payment systems</w:t>
      </w:r>
      <w:r w:rsidRPr="003E617E">
        <w:rPr>
          <w:i/>
          <w:iCs/>
          <w:sz w:val="18"/>
          <w:szCs w:val="18"/>
        </w:rPr>
        <w:t xml:space="preserve"> include debit and credit card </w:t>
      </w:r>
      <w:r w:rsidR="008604F2"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 and wallet and PPI card payment</w:t>
      </w:r>
      <w:r w:rsidR="008604F2">
        <w:rPr>
          <w:i/>
          <w:iCs/>
          <w:sz w:val="18"/>
          <w:szCs w:val="18"/>
        </w:rPr>
        <w:t xml:space="preserve"> transactions</w:t>
      </w:r>
      <w:r w:rsidRPr="003E617E">
        <w:rPr>
          <w:i/>
          <w:iCs/>
          <w:sz w:val="18"/>
          <w:szCs w:val="18"/>
        </w:rPr>
        <w:t xml:space="preserve"> </w:t>
      </w:r>
      <w:r w:rsidR="000F6DA6">
        <w:rPr>
          <w:i/>
          <w:iCs/>
          <w:sz w:val="18"/>
          <w:szCs w:val="18"/>
        </w:rPr>
        <w:t>(excl. cash withdrawal)</w:t>
      </w:r>
      <w:r w:rsidR="009F69DB">
        <w:rPr>
          <w:i/>
          <w:iCs/>
          <w:sz w:val="18"/>
          <w:szCs w:val="18"/>
        </w:rPr>
        <w:t>.</w:t>
      </w:r>
    </w:p>
    <w:p w14:paraId="4BB3B6C8" w14:textId="55C09D2A" w:rsidR="00121757" w:rsidRDefault="00AC4589" w:rsidP="000C1283">
      <w:pPr>
        <w:pStyle w:val="Heading1"/>
        <w:spacing w:before="0" w:line="360" w:lineRule="auto"/>
        <w:jc w:val="center"/>
      </w:pPr>
      <w:bookmarkStart w:id="8" w:name="X56c929dda3c27738b902356bca3d2045d5d4ea0"/>
      <w:bookmarkStart w:id="9" w:name="_Toc93802255"/>
      <w:r>
        <w:lastRenderedPageBreak/>
        <w:t xml:space="preserve">Payment </w:t>
      </w:r>
      <w:r w:rsidR="007D0454">
        <w:t>S</w:t>
      </w:r>
      <w:r>
        <w:t>ystem</w:t>
      </w:r>
      <w:r w:rsidR="00920339">
        <w:t>s</w:t>
      </w:r>
      <w:r>
        <w:t xml:space="preserve"> </w:t>
      </w:r>
      <w:r w:rsidR="00920339">
        <w:t>–</w:t>
      </w:r>
      <w:r>
        <w:t xml:space="preserve"> </w:t>
      </w:r>
      <w:r w:rsidR="009F69DB">
        <w:t>S</w:t>
      </w:r>
      <w:r w:rsidR="007D0454">
        <w:t xml:space="preserve">hare of </w:t>
      </w:r>
      <w:r w:rsidR="009F69DB">
        <w:t>V</w:t>
      </w:r>
      <w:r>
        <w:t>olu</w:t>
      </w:r>
      <w:bookmarkStart w:id="10" w:name="_GoBack"/>
      <w:bookmarkEnd w:id="10"/>
      <w:r>
        <w:t xml:space="preserve">me and </w:t>
      </w:r>
      <w:r w:rsidR="009F69DB">
        <w:t>V</w:t>
      </w:r>
      <w:r>
        <w:t>alue</w:t>
      </w:r>
      <w:bookmarkEnd w:id="8"/>
      <w:bookmarkEnd w:id="9"/>
    </w:p>
    <w:p w14:paraId="4877EB66" w14:textId="574CD93A" w:rsidR="00121757" w:rsidRPr="003E617E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bookmarkStart w:id="11" w:name="digital-payment-volume-share"/>
      <w:bookmarkStart w:id="12" w:name="_Toc93802256"/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>–</w:t>
      </w:r>
      <w:r w:rsidR="003E617E" w:rsidRPr="003E617E">
        <w:rPr>
          <w:color w:val="548DD4" w:themeColor="text2" w:themeTint="99"/>
        </w:rPr>
        <w:t xml:space="preserve"> V</w:t>
      </w:r>
      <w:r w:rsidRPr="003E617E">
        <w:rPr>
          <w:color w:val="548DD4" w:themeColor="text2" w:themeTint="99"/>
        </w:rPr>
        <w:t xml:space="preserve">olume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1"/>
      <w:bookmarkEnd w:id="12"/>
      <w:r w:rsidR="00582B74">
        <w:rPr>
          <w:color w:val="548DD4" w:themeColor="text2" w:themeTint="99"/>
        </w:rPr>
        <w:t xml:space="preserve"> of Payment Systems</w:t>
      </w:r>
    </w:p>
    <w:p w14:paraId="3B8E929A" w14:textId="0040DB4A" w:rsidR="00121757" w:rsidRDefault="0002360D" w:rsidP="000F6DA6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53295875" wp14:editId="1F9450C4">
            <wp:extent cx="5943600" cy="3394075"/>
            <wp:effectExtent l="0" t="0" r="0" b="0"/>
            <wp:docPr id="6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7-1.png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7551" cy="3396331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4DB2916" w14:textId="77777777" w:rsidR="000F6DA6" w:rsidRDefault="000F6DA6" w:rsidP="000F6DA6">
      <w:pPr>
        <w:pStyle w:val="Heading2"/>
        <w:spacing w:before="0" w:line="360" w:lineRule="auto"/>
        <w:jc w:val="both"/>
        <w:rPr>
          <w:color w:val="548DD4" w:themeColor="text2" w:themeTint="99"/>
        </w:rPr>
      </w:pPr>
      <w:bookmarkStart w:id="13" w:name="digital-payment-value-share"/>
      <w:bookmarkStart w:id="14" w:name="_Toc93802257"/>
    </w:p>
    <w:p w14:paraId="40CFD84B" w14:textId="1648C654" w:rsidR="00121757" w:rsidRDefault="00AC4589" w:rsidP="000F6DA6">
      <w:pPr>
        <w:pStyle w:val="Heading2"/>
        <w:numPr>
          <w:ilvl w:val="0"/>
          <w:numId w:val="2"/>
        </w:numPr>
        <w:spacing w:before="0" w:line="360" w:lineRule="auto"/>
        <w:jc w:val="both"/>
        <w:rPr>
          <w:color w:val="548DD4" w:themeColor="text2" w:themeTint="99"/>
        </w:rPr>
      </w:pPr>
      <w:r w:rsidRPr="003E617E">
        <w:rPr>
          <w:color w:val="548DD4" w:themeColor="text2" w:themeTint="99"/>
        </w:rPr>
        <w:t xml:space="preserve">Digital </w:t>
      </w:r>
      <w:r w:rsidR="003E617E" w:rsidRPr="003E617E">
        <w:rPr>
          <w:color w:val="548DD4" w:themeColor="text2" w:themeTint="99"/>
        </w:rPr>
        <w:t>P</w:t>
      </w:r>
      <w:r w:rsidRPr="003E617E">
        <w:rPr>
          <w:color w:val="548DD4" w:themeColor="text2" w:themeTint="99"/>
        </w:rPr>
        <w:t>ayment</w:t>
      </w:r>
      <w:r w:rsidR="00920339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 xml:space="preserve"> </w:t>
      </w:r>
      <w:r w:rsidR="00920339">
        <w:rPr>
          <w:color w:val="548DD4" w:themeColor="text2" w:themeTint="99"/>
        </w:rPr>
        <w:t xml:space="preserve">– </w:t>
      </w:r>
      <w:r w:rsidR="003E617E" w:rsidRPr="003E617E">
        <w:rPr>
          <w:color w:val="548DD4" w:themeColor="text2" w:themeTint="99"/>
        </w:rPr>
        <w:t>V</w:t>
      </w:r>
      <w:r w:rsidRPr="003E617E">
        <w:rPr>
          <w:color w:val="548DD4" w:themeColor="text2" w:themeTint="99"/>
        </w:rPr>
        <w:t xml:space="preserve">alue </w:t>
      </w:r>
      <w:r w:rsidR="009F69DB">
        <w:rPr>
          <w:color w:val="548DD4" w:themeColor="text2" w:themeTint="99"/>
        </w:rPr>
        <w:t>S</w:t>
      </w:r>
      <w:r w:rsidRPr="003E617E">
        <w:rPr>
          <w:color w:val="548DD4" w:themeColor="text2" w:themeTint="99"/>
        </w:rPr>
        <w:t>hare</w:t>
      </w:r>
      <w:bookmarkEnd w:id="13"/>
      <w:bookmarkEnd w:id="14"/>
      <w:r w:rsidR="00582B74">
        <w:rPr>
          <w:color w:val="548DD4" w:themeColor="text2" w:themeTint="99"/>
        </w:rPr>
        <w:t xml:space="preserve"> of Payment Systems</w:t>
      </w:r>
    </w:p>
    <w:p w14:paraId="00ED35D3" w14:textId="31D2E7D2" w:rsidR="00944716" w:rsidRPr="00944716" w:rsidRDefault="0002360D" w:rsidP="00944716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031420F6" wp14:editId="38E2D708">
            <wp:extent cx="5943600" cy="3394075"/>
            <wp:effectExtent l="0" t="0" r="0" b="0"/>
            <wp:docPr id="7" name="Picture" descr="Graphical user interface, 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" descr="Graphical user interface, 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9244" cy="3397298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574D2BB5" w14:textId="6268BCEA" w:rsidR="000F6DA6" w:rsidRDefault="000F6DA6" w:rsidP="000F6DA6">
      <w:pPr>
        <w:pStyle w:val="Heading1"/>
        <w:numPr>
          <w:ilvl w:val="0"/>
          <w:numId w:val="2"/>
        </w:numPr>
        <w:spacing w:before="0" w:line="360" w:lineRule="auto"/>
        <w:jc w:val="both"/>
      </w:pPr>
      <w:bookmarkStart w:id="15" w:name="card-acceptance-infrastructure"/>
      <w:bookmarkStart w:id="16" w:name="_Toc93802253"/>
      <w:r>
        <w:lastRenderedPageBreak/>
        <w:t xml:space="preserve">Card </w:t>
      </w:r>
      <w:r w:rsidR="009F69DB">
        <w:t>A</w:t>
      </w:r>
      <w:r>
        <w:t xml:space="preserve">cceptance </w:t>
      </w:r>
      <w:r w:rsidR="009F69DB">
        <w:t>I</w:t>
      </w:r>
      <w:r>
        <w:t>nfrastructure</w:t>
      </w:r>
      <w:bookmarkEnd w:id="15"/>
      <w:bookmarkEnd w:id="16"/>
      <w:r>
        <w:t xml:space="preserve"> – ATMs and PoS </w:t>
      </w:r>
      <w:r w:rsidR="009F69DB">
        <w:t>T</w:t>
      </w:r>
      <w:r>
        <w:t>erminals</w:t>
      </w:r>
    </w:p>
    <w:p w14:paraId="7298499E" w14:textId="0B56C9BF" w:rsidR="000F6DA6" w:rsidRDefault="0002360D" w:rsidP="00845852">
      <w:pPr>
        <w:pStyle w:val="FirstParagraph"/>
        <w:spacing w:before="0" w:after="0" w:line="360" w:lineRule="auto"/>
        <w:jc w:val="both"/>
      </w:pPr>
      <w:r>
        <w:rPr>
          <w:noProof/>
          <w:lang w:val="en-IN" w:eastAsia="en-IN"/>
        </w:rPr>
        <w:drawing>
          <wp:inline distT="0" distB="0" distL="0" distR="0" wp14:anchorId="1B866594" wp14:editId="1E3055E0">
            <wp:extent cx="5913620" cy="3394075"/>
            <wp:effectExtent l="0" t="0" r="5080" b="0"/>
            <wp:docPr id="4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5-1.png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8515" cy="3396885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429AF440" w14:textId="44345B07" w:rsidR="00AE0B44" w:rsidRDefault="00AE0B44" w:rsidP="007E5984">
      <w:pPr>
        <w:pStyle w:val="Heading2"/>
        <w:numPr>
          <w:ilvl w:val="0"/>
          <w:numId w:val="2"/>
        </w:numPr>
      </w:pPr>
      <w:bookmarkStart w:id="17" w:name="ticket-size-of-retail-payment-systems"/>
      <w:bookmarkStart w:id="18" w:name="_Toc99527932"/>
      <w:r>
        <w:t xml:space="preserve">Ticket </w:t>
      </w:r>
      <w:r w:rsidR="00DF7087">
        <w:t>S</w:t>
      </w:r>
      <w:r>
        <w:t xml:space="preserve">ize of </w:t>
      </w:r>
      <w:r w:rsidR="00DF7087">
        <w:t>R</w:t>
      </w:r>
      <w:r>
        <w:t xml:space="preserve">etail </w:t>
      </w:r>
      <w:r w:rsidR="00DF7087">
        <w:t>P</w:t>
      </w:r>
      <w:r>
        <w:t xml:space="preserve">ayment </w:t>
      </w:r>
      <w:r w:rsidR="00DF7087">
        <w:t>S</w:t>
      </w:r>
      <w:r>
        <w:t>ystems</w:t>
      </w:r>
      <w:bookmarkEnd w:id="17"/>
      <w:bookmarkEnd w:id="18"/>
    </w:p>
    <w:p w14:paraId="2203F603" w14:textId="4BE0C48B" w:rsidR="007E5984" w:rsidRDefault="0002360D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08E0EA95" wp14:editId="24E965BD">
            <wp:extent cx="5913120" cy="3394075"/>
            <wp:effectExtent l="0" t="0" r="5080" b="0"/>
            <wp:docPr id="8" name="Picture" descr="Chart, line chart&#10;&#10;Description automatically generated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Picture" descr="Chart, line chart&#10;&#10;Description automatically generated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6590" cy="3396067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14EB6494" w14:textId="77777777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004BFDF7" w14:textId="77777777" w:rsidR="00EE1241" w:rsidRDefault="00887C16" w:rsidP="00EE1241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Ticket size</w:t>
      </w:r>
      <w:r w:rsidR="007C0371">
        <w:rPr>
          <w:b/>
          <w:bCs/>
          <w:i/>
          <w:iCs/>
          <w:sz w:val="18"/>
          <w:szCs w:val="18"/>
        </w:rPr>
        <w:t xml:space="preserve"> (Average Value Per Transaction)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  <w:r w:rsidR="00EE1241">
        <w:rPr>
          <w:i/>
          <w:iCs/>
          <w:sz w:val="18"/>
          <w:szCs w:val="18"/>
        </w:rPr>
        <w:t xml:space="preserve">. </w:t>
      </w:r>
    </w:p>
    <w:p w14:paraId="01280BEA" w14:textId="4FB1B939" w:rsidR="00EE1241" w:rsidRPr="003E617E" w:rsidRDefault="00EE1241" w:rsidP="00EE1241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>
        <w:rPr>
          <w:b/>
          <w:bCs/>
          <w:i/>
          <w:iCs/>
          <w:sz w:val="18"/>
          <w:szCs w:val="18"/>
        </w:rPr>
        <w:t>Cards</w:t>
      </w:r>
      <w:r w:rsidRPr="003E617E">
        <w:rPr>
          <w:i/>
          <w:iCs/>
          <w:sz w:val="18"/>
          <w:szCs w:val="18"/>
        </w:rPr>
        <w:t xml:space="preserve"> include debit and credit card </w:t>
      </w:r>
      <w:r>
        <w:rPr>
          <w:i/>
          <w:iCs/>
          <w:sz w:val="18"/>
          <w:szCs w:val="18"/>
        </w:rPr>
        <w:t xml:space="preserve">payment </w:t>
      </w:r>
      <w:r w:rsidRPr="003E617E">
        <w:rPr>
          <w:i/>
          <w:iCs/>
          <w:sz w:val="18"/>
          <w:szCs w:val="18"/>
        </w:rPr>
        <w:t>transactions (excl. cash withdrawal)</w:t>
      </w:r>
      <w:r>
        <w:rPr>
          <w:i/>
          <w:iCs/>
          <w:sz w:val="18"/>
          <w:szCs w:val="18"/>
        </w:rPr>
        <w:t>.</w:t>
      </w:r>
    </w:p>
    <w:p w14:paraId="257E4F6E" w14:textId="785DBA1D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</w:p>
    <w:p w14:paraId="5BCE8CFB" w14:textId="186C2EA8" w:rsidR="007E5984" w:rsidRDefault="007E5984" w:rsidP="007E5984">
      <w:pPr>
        <w:pStyle w:val="Heading2"/>
        <w:numPr>
          <w:ilvl w:val="0"/>
          <w:numId w:val="2"/>
        </w:numPr>
      </w:pPr>
      <w:bookmarkStart w:id="19" w:name="ticket-size-of-large-value-payments"/>
      <w:bookmarkStart w:id="20" w:name="_Toc99527933"/>
      <w:r>
        <w:lastRenderedPageBreak/>
        <w:t xml:space="preserve">Ticket </w:t>
      </w:r>
      <w:r w:rsidR="00DF7087">
        <w:t>S</w:t>
      </w:r>
      <w:r>
        <w:t xml:space="preserve">ize of </w:t>
      </w:r>
      <w:bookmarkEnd w:id="19"/>
      <w:bookmarkEnd w:id="20"/>
      <w:r w:rsidR="0064311A">
        <w:t>RTGS and NEFT Systems</w:t>
      </w:r>
    </w:p>
    <w:p w14:paraId="333313B9" w14:textId="2FAE43A2" w:rsidR="007E5984" w:rsidRDefault="0002360D" w:rsidP="007E5984">
      <w:pPr>
        <w:pStyle w:val="BodyText"/>
      </w:pPr>
      <w:r>
        <w:rPr>
          <w:noProof/>
          <w:lang w:val="en-IN" w:eastAsia="en-IN"/>
        </w:rPr>
        <w:drawing>
          <wp:inline distT="0" distB="0" distL="0" distR="0" wp14:anchorId="4B656F00" wp14:editId="0033F179">
            <wp:extent cx="5898630" cy="3394075"/>
            <wp:effectExtent l="0" t="0" r="0" b="0"/>
            <wp:docPr id="9" name="Picture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" descr="monthly-pictorial_files/figure-docx/unnamed-chunk-10-1.png"/>
                    <pic:cNvPicPr>
                      <a:picLocks noChangeAspect="1" noChangeArrowheads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05166" cy="3397836"/>
                    </a:xfrm>
                    <a:prstGeom prst="rect">
                      <a:avLst/>
                    </a:prstGeom>
                    <a:noFill/>
                    <a:ln w="9525">
                      <a:noFill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14:paraId="2B8744B0" w14:textId="77777777" w:rsidR="00887C16" w:rsidRDefault="00887C16" w:rsidP="00887C16">
      <w:pPr>
        <w:pStyle w:val="FirstParagraph"/>
        <w:spacing w:before="0" w:after="0"/>
        <w:jc w:val="both"/>
        <w:rPr>
          <w:i/>
          <w:iCs/>
          <w:sz w:val="18"/>
          <w:szCs w:val="18"/>
        </w:rPr>
      </w:pPr>
      <w:r w:rsidRPr="003E617E">
        <w:rPr>
          <w:b/>
          <w:bCs/>
          <w:i/>
          <w:iCs/>
          <w:sz w:val="18"/>
          <w:szCs w:val="18"/>
        </w:rPr>
        <w:t>Note</w:t>
      </w:r>
      <w:r w:rsidRPr="003E617E">
        <w:rPr>
          <w:i/>
          <w:iCs/>
          <w:sz w:val="18"/>
          <w:szCs w:val="18"/>
        </w:rPr>
        <w:t xml:space="preserve"> : </w:t>
      </w:r>
    </w:p>
    <w:p w14:paraId="536A8AE4" w14:textId="3CD60B1D" w:rsidR="00AE0B44" w:rsidRPr="00AE0B44" w:rsidRDefault="00887C16" w:rsidP="00887C16">
      <w:pPr>
        <w:pStyle w:val="FirstParagraph"/>
        <w:spacing w:before="0" w:after="0"/>
        <w:jc w:val="both"/>
      </w:pPr>
      <w:r>
        <w:rPr>
          <w:b/>
          <w:bCs/>
          <w:i/>
          <w:iCs/>
          <w:sz w:val="18"/>
          <w:szCs w:val="18"/>
        </w:rPr>
        <w:t>Ticket size</w:t>
      </w:r>
      <w:r w:rsidR="001C5E4A">
        <w:rPr>
          <w:b/>
          <w:bCs/>
          <w:i/>
          <w:iCs/>
          <w:sz w:val="18"/>
          <w:szCs w:val="18"/>
        </w:rPr>
        <w:t xml:space="preserve"> </w:t>
      </w:r>
      <w:r w:rsidR="007C0371">
        <w:rPr>
          <w:b/>
          <w:bCs/>
          <w:i/>
          <w:iCs/>
          <w:sz w:val="18"/>
          <w:szCs w:val="18"/>
        </w:rPr>
        <w:t>(Average Value Per Transaction)</w:t>
      </w:r>
      <w:r>
        <w:rPr>
          <w:b/>
          <w:bCs/>
          <w:i/>
          <w:iCs/>
          <w:sz w:val="18"/>
          <w:szCs w:val="18"/>
        </w:rPr>
        <w:t xml:space="preserve"> </w:t>
      </w:r>
      <w:r w:rsidRPr="00887C16">
        <w:rPr>
          <w:i/>
          <w:iCs/>
          <w:sz w:val="18"/>
          <w:szCs w:val="18"/>
        </w:rPr>
        <w:t>is calculated by dividing</w:t>
      </w:r>
      <w:r>
        <w:rPr>
          <w:i/>
          <w:iCs/>
          <w:sz w:val="18"/>
          <w:szCs w:val="18"/>
        </w:rPr>
        <w:t xml:space="preserve"> the transaction value of a payment system for a given period by its transaction volume during the same period</w:t>
      </w:r>
    </w:p>
    <w:sectPr w:rsidR="00AE0B44" w:rsidRPr="00AE0B44" w:rsidSect="00A570E2">
      <w:pgSz w:w="12240" w:h="15840"/>
      <w:pgMar w:top="880" w:right="1440" w:bottom="1440" w:left="144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139C1944" w14:textId="77777777" w:rsidR="004C0D59" w:rsidRDefault="004C0D59">
      <w:pPr>
        <w:spacing w:after="0"/>
      </w:pPr>
      <w:r>
        <w:separator/>
      </w:r>
    </w:p>
  </w:endnote>
  <w:endnote w:type="continuationSeparator" w:id="0">
    <w:p w14:paraId="22107918" w14:textId="77777777" w:rsidR="004C0D59" w:rsidRDefault="004C0D59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angal">
    <w:altName w:val="Courier New"/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332D5897" w14:textId="77777777" w:rsidR="004C0D59" w:rsidRDefault="004C0D59">
      <w:r>
        <w:separator/>
      </w:r>
    </w:p>
  </w:footnote>
  <w:footnote w:type="continuationSeparator" w:id="0">
    <w:p w14:paraId="0AD8B26D" w14:textId="77777777" w:rsidR="004C0D59" w:rsidRDefault="004C0D5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5123844"/>
    <w:multiLevelType w:val="hybridMultilevel"/>
    <w:tmpl w:val="88C6912C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D0510C9"/>
    <w:multiLevelType w:val="hybridMultilevel"/>
    <w:tmpl w:val="C172E6C4"/>
    <w:lvl w:ilvl="0" w:tplc="40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40090019" w:tentative="1">
      <w:start w:val="1"/>
      <w:numFmt w:val="lowerLetter"/>
      <w:lvlText w:val="%2."/>
      <w:lvlJc w:val="left"/>
      <w:pPr>
        <w:ind w:left="1440" w:hanging="360"/>
      </w:pPr>
    </w:lvl>
    <w:lvl w:ilvl="2" w:tplc="4009001B" w:tentative="1">
      <w:start w:val="1"/>
      <w:numFmt w:val="lowerRoman"/>
      <w:lvlText w:val="%3."/>
      <w:lvlJc w:val="right"/>
      <w:pPr>
        <w:ind w:left="2160" w:hanging="180"/>
      </w:pPr>
    </w:lvl>
    <w:lvl w:ilvl="3" w:tplc="4009000F" w:tentative="1">
      <w:start w:val="1"/>
      <w:numFmt w:val="decimal"/>
      <w:lvlText w:val="%4."/>
      <w:lvlJc w:val="left"/>
      <w:pPr>
        <w:ind w:left="2880" w:hanging="360"/>
      </w:pPr>
    </w:lvl>
    <w:lvl w:ilvl="4" w:tplc="40090019" w:tentative="1">
      <w:start w:val="1"/>
      <w:numFmt w:val="lowerLetter"/>
      <w:lvlText w:val="%5."/>
      <w:lvlJc w:val="left"/>
      <w:pPr>
        <w:ind w:left="3600" w:hanging="360"/>
      </w:pPr>
    </w:lvl>
    <w:lvl w:ilvl="5" w:tplc="4009001B" w:tentative="1">
      <w:start w:val="1"/>
      <w:numFmt w:val="lowerRoman"/>
      <w:lvlText w:val="%6."/>
      <w:lvlJc w:val="right"/>
      <w:pPr>
        <w:ind w:left="4320" w:hanging="180"/>
      </w:pPr>
    </w:lvl>
    <w:lvl w:ilvl="6" w:tplc="4009000F" w:tentative="1">
      <w:start w:val="1"/>
      <w:numFmt w:val="decimal"/>
      <w:lvlText w:val="%7."/>
      <w:lvlJc w:val="left"/>
      <w:pPr>
        <w:ind w:left="5040" w:hanging="360"/>
      </w:pPr>
    </w:lvl>
    <w:lvl w:ilvl="7" w:tplc="40090019" w:tentative="1">
      <w:start w:val="1"/>
      <w:numFmt w:val="lowerLetter"/>
      <w:lvlText w:val="%8."/>
      <w:lvlJc w:val="left"/>
      <w:pPr>
        <w:ind w:left="5760" w:hanging="360"/>
      </w:pPr>
    </w:lvl>
    <w:lvl w:ilvl="8" w:tplc="40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2C1AE401"/>
    <w:multiLevelType w:val="multilevel"/>
    <w:tmpl w:val="F4CA9D62"/>
    <w:lvl w:ilvl="0">
      <w:numFmt w:val="bullet"/>
      <w:lvlText w:val=" "/>
      <w:lvlJc w:val="left"/>
      <w:pPr>
        <w:tabs>
          <w:tab w:val="num" w:pos="0"/>
        </w:tabs>
        <w:ind w:left="480" w:hanging="480"/>
      </w:pPr>
    </w:lvl>
    <w:lvl w:ilvl="1">
      <w:numFmt w:val="bullet"/>
      <w:lvlText w:val=" "/>
      <w:lvlJc w:val="left"/>
      <w:pPr>
        <w:tabs>
          <w:tab w:val="num" w:pos="720"/>
        </w:tabs>
        <w:ind w:left="1200" w:hanging="480"/>
      </w:pPr>
    </w:lvl>
    <w:lvl w:ilvl="2">
      <w:numFmt w:val="bullet"/>
      <w:lvlText w:val=" "/>
      <w:lvlJc w:val="left"/>
      <w:pPr>
        <w:tabs>
          <w:tab w:val="num" w:pos="1440"/>
        </w:tabs>
        <w:ind w:left="1920" w:hanging="480"/>
      </w:pPr>
    </w:lvl>
    <w:lvl w:ilvl="3">
      <w:numFmt w:val="bullet"/>
      <w:lvlText w:val=" "/>
      <w:lvlJc w:val="left"/>
      <w:pPr>
        <w:tabs>
          <w:tab w:val="num" w:pos="2160"/>
        </w:tabs>
        <w:ind w:left="2640" w:hanging="480"/>
      </w:pPr>
    </w:lvl>
    <w:lvl w:ilvl="4">
      <w:numFmt w:val="bullet"/>
      <w:lvlText w:val=" "/>
      <w:lvlJc w:val="left"/>
      <w:pPr>
        <w:tabs>
          <w:tab w:val="num" w:pos="2880"/>
        </w:tabs>
        <w:ind w:left="3360" w:hanging="480"/>
      </w:pPr>
    </w:lvl>
    <w:lvl w:ilvl="5">
      <w:numFmt w:val="bullet"/>
      <w:lvlText w:val=" "/>
      <w:lvlJc w:val="left"/>
      <w:pPr>
        <w:tabs>
          <w:tab w:val="num" w:pos="3600"/>
        </w:tabs>
        <w:ind w:left="4080" w:hanging="480"/>
      </w:pPr>
    </w:lvl>
    <w:lvl w:ilvl="6">
      <w:numFmt w:val="bullet"/>
      <w:lvlText w:val=" "/>
      <w:lvlJc w:val="left"/>
      <w:pPr>
        <w:tabs>
          <w:tab w:val="num" w:pos="4320"/>
        </w:tabs>
        <w:ind w:left="4800" w:hanging="480"/>
      </w:pPr>
    </w:lvl>
    <w:lvl w:ilvl="7">
      <w:numFmt w:val="bullet"/>
      <w:lvlText w:val=" "/>
      <w:lvlJc w:val="left"/>
      <w:pPr>
        <w:tabs>
          <w:tab w:val="num" w:pos="5040"/>
        </w:tabs>
        <w:ind w:left="5520" w:hanging="480"/>
      </w:pPr>
    </w:lvl>
    <w:lvl w:ilvl="8">
      <w:numFmt w:val="bullet"/>
      <w:lvlText w:val=" "/>
      <w:lvlJc w:val="left"/>
      <w:pPr>
        <w:tabs>
          <w:tab w:val="num" w:pos="5760"/>
        </w:tabs>
        <w:ind w:left="6240" w:hanging="480"/>
      </w:pPr>
    </w:lvl>
  </w:abstractNum>
  <w:abstractNum w:abstractNumId="3" w15:restartNumberingAfterBreak="0">
    <w:nsid w:val="55C241FB"/>
    <w:multiLevelType w:val="hybridMultilevel"/>
    <w:tmpl w:val="386C1282"/>
    <w:lvl w:ilvl="0" w:tplc="FFFFFFF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2"/>
  </w:num>
  <w:num w:numId="2">
    <w:abstractNumId w:val="1"/>
  </w:num>
  <w:num w:numId="3">
    <w:abstractNumId w:val="3"/>
  </w:num>
  <w:num w:numId="4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SystemFonts/>
  <w:stylePaneFormatFilter w:val="0004" w:allStyles="0" w:customStyles="0" w:latentStyles="1" w:stylesInUse="0" w:headingStyles="0" w:numberingStyles="0" w:tableStyles="0" w:directFormattingOnRuns="0" w:directFormattingOnParagraphs="0" w:directFormattingOnNumbering="0" w:directFormattingOnTables="0" w:clearFormatting="0" w:top3HeadingStyles="0" w:visibleStyles="0" w:alternateStyleNames="0"/>
  <w:defaultTabStop w:val="720"/>
  <w:drawingGridHorizontalSpacing w:val="360"/>
  <w:drawingGridVerticalSpacing w:val="360"/>
  <w:displayHorizontalDrawingGridEvery w:val="0"/>
  <w:displayVerticalDrawingGridEvery w:val="0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90D07"/>
    <w:rsid w:val="00011C8B"/>
    <w:rsid w:val="00014EEF"/>
    <w:rsid w:val="0002360D"/>
    <w:rsid w:val="00024BE4"/>
    <w:rsid w:val="000744ED"/>
    <w:rsid w:val="00083F75"/>
    <w:rsid w:val="00092505"/>
    <w:rsid w:val="000B36DD"/>
    <w:rsid w:val="000B6967"/>
    <w:rsid w:val="000C1283"/>
    <w:rsid w:val="000D14CB"/>
    <w:rsid w:val="000D598D"/>
    <w:rsid w:val="000F039F"/>
    <w:rsid w:val="000F6DA6"/>
    <w:rsid w:val="00104431"/>
    <w:rsid w:val="00121757"/>
    <w:rsid w:val="001235F4"/>
    <w:rsid w:val="001258B7"/>
    <w:rsid w:val="001A3305"/>
    <w:rsid w:val="001B32B7"/>
    <w:rsid w:val="001C5E4A"/>
    <w:rsid w:val="001D4C5F"/>
    <w:rsid w:val="001E1A47"/>
    <w:rsid w:val="001F4187"/>
    <w:rsid w:val="00221EBD"/>
    <w:rsid w:val="00230720"/>
    <w:rsid w:val="00252605"/>
    <w:rsid w:val="002604AD"/>
    <w:rsid w:val="00275208"/>
    <w:rsid w:val="00284F5B"/>
    <w:rsid w:val="002918C1"/>
    <w:rsid w:val="002B73D5"/>
    <w:rsid w:val="002C0F7D"/>
    <w:rsid w:val="002C62B0"/>
    <w:rsid w:val="002F17B7"/>
    <w:rsid w:val="00300E94"/>
    <w:rsid w:val="00315CA6"/>
    <w:rsid w:val="00336BA0"/>
    <w:rsid w:val="003372ED"/>
    <w:rsid w:val="0035043A"/>
    <w:rsid w:val="00354F17"/>
    <w:rsid w:val="00365529"/>
    <w:rsid w:val="00377B86"/>
    <w:rsid w:val="003804B3"/>
    <w:rsid w:val="00383BB8"/>
    <w:rsid w:val="0038781D"/>
    <w:rsid w:val="0039464C"/>
    <w:rsid w:val="003B3F34"/>
    <w:rsid w:val="003C1FA0"/>
    <w:rsid w:val="003D2CE4"/>
    <w:rsid w:val="003E617E"/>
    <w:rsid w:val="004150B4"/>
    <w:rsid w:val="004245FD"/>
    <w:rsid w:val="00425457"/>
    <w:rsid w:val="00425C72"/>
    <w:rsid w:val="00432DCD"/>
    <w:rsid w:val="00434FE5"/>
    <w:rsid w:val="004503B0"/>
    <w:rsid w:val="00462B27"/>
    <w:rsid w:val="00464BC2"/>
    <w:rsid w:val="0048758B"/>
    <w:rsid w:val="004C0D59"/>
    <w:rsid w:val="004C5849"/>
    <w:rsid w:val="004D2103"/>
    <w:rsid w:val="004E29B3"/>
    <w:rsid w:val="004F0B6F"/>
    <w:rsid w:val="004F5A32"/>
    <w:rsid w:val="00510AB3"/>
    <w:rsid w:val="005140EA"/>
    <w:rsid w:val="00551A46"/>
    <w:rsid w:val="00582B74"/>
    <w:rsid w:val="00590D07"/>
    <w:rsid w:val="005A3220"/>
    <w:rsid w:val="005B2EA0"/>
    <w:rsid w:val="005F7685"/>
    <w:rsid w:val="00627751"/>
    <w:rsid w:val="00632E17"/>
    <w:rsid w:val="006341DD"/>
    <w:rsid w:val="006401DD"/>
    <w:rsid w:val="0064311A"/>
    <w:rsid w:val="00663144"/>
    <w:rsid w:val="006867D0"/>
    <w:rsid w:val="00686B9E"/>
    <w:rsid w:val="006C4580"/>
    <w:rsid w:val="006D3872"/>
    <w:rsid w:val="006F3FF4"/>
    <w:rsid w:val="006F5885"/>
    <w:rsid w:val="006F649B"/>
    <w:rsid w:val="00707BF3"/>
    <w:rsid w:val="007166D8"/>
    <w:rsid w:val="00746664"/>
    <w:rsid w:val="00784D58"/>
    <w:rsid w:val="007B2358"/>
    <w:rsid w:val="007C0371"/>
    <w:rsid w:val="007D0454"/>
    <w:rsid w:val="007D2228"/>
    <w:rsid w:val="007E521D"/>
    <w:rsid w:val="007E5984"/>
    <w:rsid w:val="0082209C"/>
    <w:rsid w:val="008244FC"/>
    <w:rsid w:val="00841B28"/>
    <w:rsid w:val="00843E74"/>
    <w:rsid w:val="00845852"/>
    <w:rsid w:val="00846405"/>
    <w:rsid w:val="00854608"/>
    <w:rsid w:val="008604F2"/>
    <w:rsid w:val="008611EB"/>
    <w:rsid w:val="00862134"/>
    <w:rsid w:val="008708E6"/>
    <w:rsid w:val="00873B3D"/>
    <w:rsid w:val="00887C16"/>
    <w:rsid w:val="008B6962"/>
    <w:rsid w:val="008D3D93"/>
    <w:rsid w:val="008D6863"/>
    <w:rsid w:val="008F3981"/>
    <w:rsid w:val="00915C33"/>
    <w:rsid w:val="00920339"/>
    <w:rsid w:val="009321D8"/>
    <w:rsid w:val="00944716"/>
    <w:rsid w:val="009503D8"/>
    <w:rsid w:val="009641AE"/>
    <w:rsid w:val="00973BDC"/>
    <w:rsid w:val="00996DB8"/>
    <w:rsid w:val="009B7573"/>
    <w:rsid w:val="009F2371"/>
    <w:rsid w:val="009F69DB"/>
    <w:rsid w:val="00A03B71"/>
    <w:rsid w:val="00A20E33"/>
    <w:rsid w:val="00A570E2"/>
    <w:rsid w:val="00A63BB7"/>
    <w:rsid w:val="00A67FE7"/>
    <w:rsid w:val="00A93FC5"/>
    <w:rsid w:val="00AB2530"/>
    <w:rsid w:val="00AB623C"/>
    <w:rsid w:val="00AC4589"/>
    <w:rsid w:val="00AD0270"/>
    <w:rsid w:val="00AE0B44"/>
    <w:rsid w:val="00AF4E45"/>
    <w:rsid w:val="00B23FF9"/>
    <w:rsid w:val="00B47360"/>
    <w:rsid w:val="00B555EC"/>
    <w:rsid w:val="00B563FC"/>
    <w:rsid w:val="00B86B75"/>
    <w:rsid w:val="00B87687"/>
    <w:rsid w:val="00BA5392"/>
    <w:rsid w:val="00BA6A46"/>
    <w:rsid w:val="00BC48D5"/>
    <w:rsid w:val="00BD2B36"/>
    <w:rsid w:val="00BE12ED"/>
    <w:rsid w:val="00BF6750"/>
    <w:rsid w:val="00C205C3"/>
    <w:rsid w:val="00C36279"/>
    <w:rsid w:val="00C8198B"/>
    <w:rsid w:val="00C9387C"/>
    <w:rsid w:val="00C95A49"/>
    <w:rsid w:val="00CE7C91"/>
    <w:rsid w:val="00CF412F"/>
    <w:rsid w:val="00CF4F1A"/>
    <w:rsid w:val="00D0487C"/>
    <w:rsid w:val="00D20E5F"/>
    <w:rsid w:val="00D311AC"/>
    <w:rsid w:val="00D419AD"/>
    <w:rsid w:val="00D61FA7"/>
    <w:rsid w:val="00D800BE"/>
    <w:rsid w:val="00D85338"/>
    <w:rsid w:val="00DA390C"/>
    <w:rsid w:val="00DA6ED0"/>
    <w:rsid w:val="00DD5715"/>
    <w:rsid w:val="00DF218B"/>
    <w:rsid w:val="00DF3CAB"/>
    <w:rsid w:val="00DF7087"/>
    <w:rsid w:val="00E10C11"/>
    <w:rsid w:val="00E111B6"/>
    <w:rsid w:val="00E30065"/>
    <w:rsid w:val="00E30686"/>
    <w:rsid w:val="00E315A3"/>
    <w:rsid w:val="00E36935"/>
    <w:rsid w:val="00E463F7"/>
    <w:rsid w:val="00E6565C"/>
    <w:rsid w:val="00E65B83"/>
    <w:rsid w:val="00E8426D"/>
    <w:rsid w:val="00E92781"/>
    <w:rsid w:val="00E947D8"/>
    <w:rsid w:val="00EB4AB0"/>
    <w:rsid w:val="00ED1BED"/>
    <w:rsid w:val="00ED226B"/>
    <w:rsid w:val="00EE1241"/>
    <w:rsid w:val="00EE7687"/>
    <w:rsid w:val="00EF1128"/>
    <w:rsid w:val="00EF28AE"/>
    <w:rsid w:val="00EF46B8"/>
    <w:rsid w:val="00F73A7D"/>
    <w:rsid w:val="00F7586A"/>
    <w:rsid w:val="00FB132B"/>
    <w:rsid w:val="00FB7003"/>
    <w:rsid w:val="00FC0490"/>
  </w:rsids>
  <m:mathPr>
    <m:mathFont m:val="Cambria Math"/>
    <m:brkBin m:val="before"/>
    <m:brkBinSub m:val="--"/>
    <m:smallFrac m:val="0"/>
    <m:dispDef m:val="0"/>
    <m:lMargin m:val="0"/>
    <m:rMargin m:val="0"/>
    <m:defJc m:val="centerGroup"/>
    <m:wrapRight/>
    <m:intLim m:val="subSup"/>
    <m:naryLim m:val="subSup"/>
  </m:mathPr>
  <w:themeFontLang w:val="en-US" w:bidi="hi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."/>
  <w:listSeparator w:val=","/>
  <w14:docId w14:val="3C1F4B65"/>
  <w15:docId w15:val="{044EAD5F-448C-A64F-80E1-C483FEA3F1A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>
      <w:pPr>
        <w:spacing w:after="200"/>
      </w:pPr>
    </w:pPrDefault>
  </w:docDefaults>
  <w:latentStyles w:defLockedState="0" w:defUIPriority="0" w:defSemiHidden="0" w:defUnhideWhenUsed="0" w:defQFormat="0" w:count="371">
    <w:lsdException w:name="heading 5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Bullet 2" w:semiHidden="1" w:unhideWhenUsed="1"/>
    <w:lsdException w:name="List Bullet 3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99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/>
    <w:lsdException w:name="Light Shading"/>
    <w:lsdException w:name="Light List"/>
    <w:lsdException w:name="Light Grid"/>
    <w:lsdException w:name="Medium Shading 1"/>
    <w:lsdException w:name="Medium Shading 2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BodyText"/>
    <w:uiPriority w:val="9"/>
    <w:qFormat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45A8A" w:themeColor="accent1" w:themeShade="B5"/>
      <w:sz w:val="32"/>
      <w:szCs w:val="32"/>
    </w:rPr>
  </w:style>
  <w:style w:type="paragraph" w:styleId="Heading2">
    <w:name w:val="heading 2"/>
    <w:basedOn w:val="Normal"/>
    <w:next w:val="BodyText"/>
    <w:uiPriority w:val="9"/>
    <w:unhideWhenUsed/>
    <w:qFormat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32"/>
      <w:szCs w:val="32"/>
    </w:rPr>
  </w:style>
  <w:style w:type="paragraph" w:styleId="Heading3">
    <w:name w:val="heading 3"/>
    <w:basedOn w:val="Normal"/>
    <w:next w:val="BodyText"/>
    <w:uiPriority w:val="9"/>
    <w:unhideWhenUsed/>
    <w:qFormat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  <w:sz w:val="28"/>
      <w:szCs w:val="28"/>
    </w:rPr>
  </w:style>
  <w:style w:type="paragraph" w:styleId="Heading4">
    <w:name w:val="heading 4"/>
    <w:basedOn w:val="Normal"/>
    <w:next w:val="BodyText"/>
    <w:uiPriority w:val="9"/>
    <w:unhideWhenUsed/>
    <w:qFormat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paragraph" w:styleId="Heading5">
    <w:name w:val="heading 5"/>
    <w:basedOn w:val="Normal"/>
    <w:next w:val="BodyText"/>
    <w:uiPriority w:val="9"/>
    <w:unhideWhenUsed/>
    <w:qFormat/>
    <w:pPr>
      <w:keepNext/>
      <w:keepLines/>
      <w:spacing w:before="200" w:after="0"/>
      <w:outlineLvl w:val="4"/>
    </w:pPr>
    <w:rPr>
      <w:rFonts w:asciiTheme="majorHAnsi" w:eastAsiaTheme="majorEastAsia" w:hAnsiTheme="majorHAnsi" w:cstheme="majorBidi"/>
      <w:i/>
      <w:iCs/>
      <w:color w:val="4F81BD" w:themeColor="accent1"/>
    </w:rPr>
  </w:style>
  <w:style w:type="paragraph" w:styleId="Heading6">
    <w:name w:val="heading 6"/>
    <w:basedOn w:val="Normal"/>
    <w:next w:val="BodyText"/>
    <w:uiPriority w:val="9"/>
    <w:unhideWhenUsed/>
    <w:qFormat/>
    <w:pPr>
      <w:keepNext/>
      <w:keepLines/>
      <w:spacing w:before="200" w:after="0"/>
      <w:outlineLvl w:val="5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7">
    <w:name w:val="heading 7"/>
    <w:basedOn w:val="Normal"/>
    <w:next w:val="BodyText"/>
    <w:uiPriority w:val="9"/>
    <w:unhideWhenUsed/>
    <w:qFormat/>
    <w:pPr>
      <w:keepNext/>
      <w:keepLines/>
      <w:spacing w:before="200" w:after="0"/>
      <w:outlineLvl w:val="6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8">
    <w:name w:val="heading 8"/>
    <w:basedOn w:val="Normal"/>
    <w:next w:val="BodyText"/>
    <w:uiPriority w:val="9"/>
    <w:unhideWhenUsed/>
    <w:qFormat/>
    <w:pPr>
      <w:keepNext/>
      <w:keepLines/>
      <w:spacing w:before="200" w:after="0"/>
      <w:outlineLvl w:val="7"/>
    </w:pPr>
    <w:rPr>
      <w:rFonts w:asciiTheme="majorHAnsi" w:eastAsiaTheme="majorEastAsia" w:hAnsiTheme="majorHAnsi" w:cstheme="majorBidi"/>
      <w:color w:val="4F81BD" w:themeColor="accent1"/>
    </w:rPr>
  </w:style>
  <w:style w:type="paragraph" w:styleId="Heading9">
    <w:name w:val="heading 9"/>
    <w:basedOn w:val="Normal"/>
    <w:next w:val="BodyText"/>
    <w:uiPriority w:val="9"/>
    <w:unhideWhenUsed/>
    <w:qFormat/>
    <w:pPr>
      <w:keepNext/>
      <w:keepLines/>
      <w:spacing w:before="200" w:after="0"/>
      <w:outlineLvl w:val="8"/>
    </w:pPr>
    <w:rPr>
      <w:rFonts w:asciiTheme="majorHAnsi" w:eastAsiaTheme="majorEastAsia" w:hAnsiTheme="majorHAnsi" w:cstheme="majorBidi"/>
      <w:color w:val="4F81BD" w:themeColor="accent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odyText">
    <w:name w:val="Body Text"/>
    <w:basedOn w:val="Normal"/>
    <w:qFormat/>
    <w:pPr>
      <w:spacing w:before="180" w:after="180"/>
    </w:pPr>
  </w:style>
  <w:style w:type="paragraph" w:customStyle="1" w:styleId="FirstParagraph">
    <w:name w:val="First Paragraph"/>
    <w:basedOn w:val="BodyText"/>
    <w:next w:val="BodyText"/>
    <w:qFormat/>
  </w:style>
  <w:style w:type="paragraph" w:customStyle="1" w:styleId="Compact">
    <w:name w:val="Compact"/>
    <w:basedOn w:val="BodyText"/>
    <w:qFormat/>
    <w:pPr>
      <w:spacing w:before="36" w:after="36"/>
    </w:pPr>
  </w:style>
  <w:style w:type="paragraph" w:styleId="Title">
    <w:name w:val="Title"/>
    <w:basedOn w:val="Normal"/>
    <w:next w:val="BodyText"/>
    <w:qFormat/>
    <w:pPr>
      <w:keepNext/>
      <w:keepLines/>
      <w:spacing w:before="480" w:after="240"/>
      <w:jc w:val="center"/>
    </w:pPr>
    <w:rPr>
      <w:rFonts w:asciiTheme="majorHAnsi" w:eastAsiaTheme="majorEastAsia" w:hAnsiTheme="majorHAnsi" w:cstheme="majorBidi"/>
      <w:b/>
      <w:bCs/>
      <w:color w:val="345A8A" w:themeColor="accent1" w:themeShade="B5"/>
      <w:sz w:val="36"/>
      <w:szCs w:val="36"/>
    </w:rPr>
  </w:style>
  <w:style w:type="paragraph" w:styleId="Subtitle">
    <w:name w:val="Subtitle"/>
    <w:basedOn w:val="Title"/>
    <w:next w:val="BodyText"/>
    <w:qFormat/>
    <w:pPr>
      <w:spacing w:before="240"/>
    </w:pPr>
    <w:rPr>
      <w:sz w:val="30"/>
      <w:szCs w:val="30"/>
    </w:rPr>
  </w:style>
  <w:style w:type="paragraph" w:customStyle="1" w:styleId="Author">
    <w:name w:val="Author"/>
    <w:next w:val="BodyText"/>
    <w:qFormat/>
    <w:pPr>
      <w:keepNext/>
      <w:keepLines/>
      <w:jc w:val="center"/>
    </w:pPr>
  </w:style>
  <w:style w:type="paragraph" w:styleId="Date">
    <w:name w:val="Date"/>
    <w:next w:val="BodyText"/>
    <w:qFormat/>
    <w:pPr>
      <w:keepNext/>
      <w:keepLines/>
      <w:jc w:val="center"/>
    </w:pPr>
  </w:style>
  <w:style w:type="paragraph" w:customStyle="1" w:styleId="Abstract">
    <w:name w:val="Abstract"/>
    <w:basedOn w:val="Normal"/>
    <w:next w:val="BodyText"/>
    <w:qFormat/>
    <w:pPr>
      <w:keepNext/>
      <w:keepLines/>
      <w:spacing w:before="300" w:after="300"/>
    </w:pPr>
    <w:rPr>
      <w:sz w:val="20"/>
      <w:szCs w:val="20"/>
    </w:rPr>
  </w:style>
  <w:style w:type="paragraph" w:styleId="Bibliography">
    <w:name w:val="Bibliography"/>
    <w:basedOn w:val="Normal"/>
    <w:qFormat/>
  </w:style>
  <w:style w:type="paragraph" w:styleId="BlockText">
    <w:name w:val="Block Text"/>
    <w:basedOn w:val="BodyText"/>
    <w:next w:val="BodyText"/>
    <w:uiPriority w:val="9"/>
    <w:unhideWhenUsed/>
    <w:qFormat/>
    <w:pPr>
      <w:spacing w:before="100" w:after="100"/>
    </w:pPr>
    <w:rPr>
      <w:rFonts w:asciiTheme="majorHAnsi" w:eastAsiaTheme="majorEastAsia" w:hAnsiTheme="majorHAnsi" w:cstheme="majorBidi"/>
      <w:bCs/>
      <w:sz w:val="20"/>
      <w:szCs w:val="20"/>
    </w:rPr>
  </w:style>
  <w:style w:type="paragraph" w:styleId="FootnoteText">
    <w:name w:val="footnote text"/>
    <w:basedOn w:val="Normal"/>
    <w:uiPriority w:val="9"/>
    <w:unhideWhenUsed/>
    <w:qFormat/>
  </w:style>
  <w:style w:type="table" w:customStyle="1" w:styleId="Table">
    <w:name w:val="Table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paragraph" w:customStyle="1" w:styleId="DefinitionTerm">
    <w:name w:val="Definition Term"/>
    <w:basedOn w:val="Normal"/>
    <w:next w:val="Definition"/>
    <w:pPr>
      <w:keepNext/>
      <w:keepLines/>
      <w:spacing w:after="0"/>
    </w:pPr>
    <w:rPr>
      <w:b/>
    </w:rPr>
  </w:style>
  <w:style w:type="paragraph" w:customStyle="1" w:styleId="Definition">
    <w:name w:val="Definition"/>
    <w:basedOn w:val="Normal"/>
  </w:style>
  <w:style w:type="paragraph" w:styleId="Caption">
    <w:name w:val="caption"/>
    <w:basedOn w:val="Normal"/>
    <w:link w:val="CaptionChar"/>
    <w:pPr>
      <w:spacing w:after="120"/>
    </w:pPr>
    <w:rPr>
      <w:i/>
    </w:rPr>
  </w:style>
  <w:style w:type="paragraph" w:customStyle="1" w:styleId="TableCaption">
    <w:name w:val="Table Caption"/>
    <w:basedOn w:val="Caption"/>
    <w:pPr>
      <w:keepNext/>
    </w:pPr>
  </w:style>
  <w:style w:type="paragraph" w:customStyle="1" w:styleId="ImageCaption">
    <w:name w:val="Image Caption"/>
    <w:basedOn w:val="Caption"/>
  </w:style>
  <w:style w:type="paragraph" w:customStyle="1" w:styleId="Figure">
    <w:name w:val="Figure"/>
    <w:basedOn w:val="Normal"/>
  </w:style>
  <w:style w:type="paragraph" w:customStyle="1" w:styleId="CaptionedFigure">
    <w:name w:val="Captioned Figure"/>
    <w:basedOn w:val="Figure"/>
    <w:pPr>
      <w:keepNext/>
    </w:pPr>
  </w:style>
  <w:style w:type="character" w:customStyle="1" w:styleId="CaptionChar">
    <w:name w:val="Caption Char"/>
    <w:basedOn w:val="DefaultParagraphFont"/>
    <w:link w:val="Caption"/>
  </w:style>
  <w:style w:type="character" w:customStyle="1" w:styleId="VerbatimChar">
    <w:name w:val="Verbatim Char"/>
    <w:basedOn w:val="CaptionChar"/>
    <w:link w:val="SourceCode"/>
    <w:rPr>
      <w:rFonts w:ascii="Consolas" w:hAnsi="Consolas"/>
      <w:sz w:val="22"/>
    </w:rPr>
  </w:style>
  <w:style w:type="character" w:styleId="FootnoteReference">
    <w:name w:val="footnote reference"/>
    <w:basedOn w:val="CaptionChar"/>
    <w:rPr>
      <w:vertAlign w:val="superscript"/>
    </w:rPr>
  </w:style>
  <w:style w:type="character" w:styleId="Hyperlink">
    <w:name w:val="Hyperlink"/>
    <w:basedOn w:val="CaptionChar"/>
    <w:uiPriority w:val="99"/>
    <w:rPr>
      <w:color w:val="4F81BD" w:themeColor="accent1"/>
    </w:rPr>
  </w:style>
  <w:style w:type="paragraph" w:styleId="TOCHeading">
    <w:name w:val="TOC Heading"/>
    <w:basedOn w:val="Heading1"/>
    <w:next w:val="BodyText"/>
    <w:uiPriority w:val="39"/>
    <w:unhideWhenUsed/>
    <w:qFormat/>
    <w:pPr>
      <w:spacing w:before="240" w:line="259" w:lineRule="auto"/>
      <w:outlineLvl w:val="9"/>
    </w:pPr>
    <w:rPr>
      <w:b w:val="0"/>
      <w:bCs w:val="0"/>
      <w:color w:val="365F91" w:themeColor="accent1" w:themeShade="BF"/>
    </w:rPr>
  </w:style>
  <w:style w:type="paragraph" w:customStyle="1" w:styleId="SourceCode">
    <w:name w:val="Source Code"/>
    <w:basedOn w:val="Normal"/>
    <w:link w:val="VerbatimChar"/>
    <w:pPr>
      <w:shd w:val="clear" w:color="auto" w:fill="F8F8F8"/>
      <w:wordWrap w:val="0"/>
    </w:pPr>
  </w:style>
  <w:style w:type="character" w:customStyle="1" w:styleId="KeywordTok">
    <w:name w:val="Keyword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DataTypeTok">
    <w:name w:val="DataTypeTok"/>
    <w:basedOn w:val="VerbatimChar"/>
    <w:rPr>
      <w:rFonts w:ascii="Consolas" w:hAnsi="Consolas"/>
      <w:color w:val="204A87"/>
      <w:sz w:val="22"/>
      <w:shd w:val="clear" w:color="auto" w:fill="F8F8F8"/>
    </w:rPr>
  </w:style>
  <w:style w:type="character" w:customStyle="1" w:styleId="DecValTok">
    <w:name w:val="DecVal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BaseNTok">
    <w:name w:val="BaseN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FloatTok">
    <w:name w:val="FloatTok"/>
    <w:basedOn w:val="VerbatimChar"/>
    <w:rPr>
      <w:rFonts w:ascii="Consolas" w:hAnsi="Consolas"/>
      <w:color w:val="0000CF"/>
      <w:sz w:val="22"/>
      <w:shd w:val="clear" w:color="auto" w:fill="F8F8F8"/>
    </w:rPr>
  </w:style>
  <w:style w:type="character" w:customStyle="1" w:styleId="ConstantTok">
    <w:name w:val="Constant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harTok">
    <w:name w:val="Char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CharTok">
    <w:name w:val="SpecialChar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StringTok">
    <w:name w:val="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VerbatimStringTok">
    <w:name w:val="Verbatim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SpecialStringTok">
    <w:name w:val="SpecialStringTok"/>
    <w:basedOn w:val="VerbatimChar"/>
    <w:rPr>
      <w:rFonts w:ascii="Consolas" w:hAnsi="Consolas"/>
      <w:color w:val="4E9A06"/>
      <w:sz w:val="22"/>
      <w:shd w:val="clear" w:color="auto" w:fill="F8F8F8"/>
    </w:rPr>
  </w:style>
  <w:style w:type="character" w:customStyle="1" w:styleId="ImportTok">
    <w:name w:val="Import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CommentTok">
    <w:name w:val="Comment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DocumentationTok">
    <w:name w:val="Documen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nnotationTok">
    <w:name w:val="Annot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CommentVarTok">
    <w:name w:val="CommentVar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OtherTok">
    <w:name w:val="OtherTok"/>
    <w:basedOn w:val="VerbatimChar"/>
    <w:rPr>
      <w:rFonts w:ascii="Consolas" w:hAnsi="Consolas"/>
      <w:color w:val="8F5902"/>
      <w:sz w:val="22"/>
      <w:shd w:val="clear" w:color="auto" w:fill="F8F8F8"/>
    </w:rPr>
  </w:style>
  <w:style w:type="character" w:customStyle="1" w:styleId="FunctionTok">
    <w:name w:val="Function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VariableTok">
    <w:name w:val="VariableTok"/>
    <w:basedOn w:val="VerbatimChar"/>
    <w:rPr>
      <w:rFonts w:ascii="Consolas" w:hAnsi="Consolas"/>
      <w:color w:val="000000"/>
      <w:sz w:val="22"/>
      <w:shd w:val="clear" w:color="auto" w:fill="F8F8F8"/>
    </w:rPr>
  </w:style>
  <w:style w:type="character" w:customStyle="1" w:styleId="ControlFlowTok">
    <w:name w:val="ControlFlowTok"/>
    <w:basedOn w:val="VerbatimChar"/>
    <w:rPr>
      <w:rFonts w:ascii="Consolas" w:hAnsi="Consolas"/>
      <w:b/>
      <w:color w:val="204A87"/>
      <w:sz w:val="22"/>
      <w:shd w:val="clear" w:color="auto" w:fill="F8F8F8"/>
    </w:rPr>
  </w:style>
  <w:style w:type="character" w:customStyle="1" w:styleId="OperatorTok">
    <w:name w:val="OperatorTok"/>
    <w:basedOn w:val="VerbatimChar"/>
    <w:rPr>
      <w:rFonts w:ascii="Consolas" w:hAnsi="Consolas"/>
      <w:b/>
      <w:color w:val="CE5C00"/>
      <w:sz w:val="22"/>
      <w:shd w:val="clear" w:color="auto" w:fill="F8F8F8"/>
    </w:rPr>
  </w:style>
  <w:style w:type="character" w:customStyle="1" w:styleId="BuiltInTok">
    <w:name w:val="BuiltI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ExtensionTok">
    <w:name w:val="Extension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PreprocessorTok">
    <w:name w:val="PreprocessorTok"/>
    <w:basedOn w:val="VerbatimChar"/>
    <w:rPr>
      <w:rFonts w:ascii="Consolas" w:hAnsi="Consolas"/>
      <w:i/>
      <w:color w:val="8F5902"/>
      <w:sz w:val="22"/>
      <w:shd w:val="clear" w:color="auto" w:fill="F8F8F8"/>
    </w:rPr>
  </w:style>
  <w:style w:type="character" w:customStyle="1" w:styleId="AttributeTok">
    <w:name w:val="AttributeTok"/>
    <w:basedOn w:val="VerbatimChar"/>
    <w:rPr>
      <w:rFonts w:ascii="Consolas" w:hAnsi="Consolas"/>
      <w:color w:val="C4A000"/>
      <w:sz w:val="22"/>
      <w:shd w:val="clear" w:color="auto" w:fill="F8F8F8"/>
    </w:rPr>
  </w:style>
  <w:style w:type="character" w:customStyle="1" w:styleId="RegionMarkerTok">
    <w:name w:val="RegionMarkerTok"/>
    <w:basedOn w:val="VerbatimChar"/>
    <w:rPr>
      <w:rFonts w:ascii="Consolas" w:hAnsi="Consolas"/>
      <w:sz w:val="22"/>
      <w:shd w:val="clear" w:color="auto" w:fill="F8F8F8"/>
    </w:rPr>
  </w:style>
  <w:style w:type="character" w:customStyle="1" w:styleId="InformationTok">
    <w:name w:val="Information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WarningTok">
    <w:name w:val="WarningTok"/>
    <w:basedOn w:val="VerbatimChar"/>
    <w:rPr>
      <w:rFonts w:ascii="Consolas" w:hAnsi="Consolas"/>
      <w:b/>
      <w:i/>
      <w:color w:val="8F5902"/>
      <w:sz w:val="22"/>
      <w:shd w:val="clear" w:color="auto" w:fill="F8F8F8"/>
    </w:rPr>
  </w:style>
  <w:style w:type="character" w:customStyle="1" w:styleId="AlertTok">
    <w:name w:val="AlertTok"/>
    <w:basedOn w:val="VerbatimChar"/>
    <w:rPr>
      <w:rFonts w:ascii="Consolas" w:hAnsi="Consolas"/>
      <w:color w:val="EF2929"/>
      <w:sz w:val="22"/>
      <w:shd w:val="clear" w:color="auto" w:fill="F8F8F8"/>
    </w:rPr>
  </w:style>
  <w:style w:type="character" w:customStyle="1" w:styleId="ErrorTok">
    <w:name w:val="ErrorTok"/>
    <w:basedOn w:val="VerbatimChar"/>
    <w:rPr>
      <w:rFonts w:ascii="Consolas" w:hAnsi="Consolas"/>
      <w:b/>
      <w:color w:val="A40000"/>
      <w:sz w:val="22"/>
      <w:shd w:val="clear" w:color="auto" w:fill="F8F8F8"/>
    </w:rPr>
  </w:style>
  <w:style w:type="character" w:customStyle="1" w:styleId="NormalTok">
    <w:name w:val="NormalTok"/>
    <w:basedOn w:val="VerbatimChar"/>
    <w:rPr>
      <w:rFonts w:ascii="Consolas" w:hAnsi="Consolas"/>
      <w:sz w:val="22"/>
      <w:shd w:val="clear" w:color="auto" w:fill="F8F8F8"/>
    </w:rPr>
  </w:style>
  <w:style w:type="paragraph" w:styleId="TOC1">
    <w:name w:val="toc 1"/>
    <w:basedOn w:val="Normal"/>
    <w:next w:val="Normal"/>
    <w:autoRedefine/>
    <w:uiPriority w:val="39"/>
    <w:unhideWhenUsed/>
    <w:rsid w:val="00B23FF9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B23FF9"/>
    <w:pPr>
      <w:spacing w:after="100"/>
      <w:ind w:left="240"/>
    </w:pPr>
  </w:style>
  <w:style w:type="paragraph" w:styleId="Revision">
    <w:name w:val="Revision"/>
    <w:hidden/>
    <w:semiHidden/>
    <w:rsid w:val="00F7586A"/>
    <w:pPr>
      <w:spacing w:after="0"/>
    </w:pPr>
  </w:style>
  <w:style w:type="character" w:styleId="CommentReference">
    <w:name w:val="annotation reference"/>
    <w:basedOn w:val="DefaultParagraphFont"/>
    <w:semiHidden/>
    <w:unhideWhenUsed/>
    <w:rsid w:val="00F7586A"/>
    <w:rPr>
      <w:sz w:val="16"/>
      <w:szCs w:val="16"/>
    </w:rPr>
  </w:style>
  <w:style w:type="paragraph" w:styleId="CommentText">
    <w:name w:val="annotation text"/>
    <w:basedOn w:val="Normal"/>
    <w:link w:val="CommentTextChar"/>
    <w:unhideWhenUsed/>
    <w:rsid w:val="00F7586A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586A"/>
    <w:rPr>
      <w:sz w:val="20"/>
      <w:szCs w:val="20"/>
    </w:rPr>
  </w:style>
  <w:style w:type="paragraph" w:styleId="CommentSubject">
    <w:name w:val="annotation subject"/>
    <w:basedOn w:val="CommentText"/>
    <w:next w:val="CommentText"/>
    <w:link w:val="CommentSubjectChar"/>
    <w:semiHidden/>
    <w:unhideWhenUsed/>
    <w:rsid w:val="00F7586A"/>
    <w:rPr>
      <w:b/>
      <w:bCs/>
    </w:rPr>
  </w:style>
  <w:style w:type="character" w:customStyle="1" w:styleId="CommentSubjectChar">
    <w:name w:val="Comment Subject Char"/>
    <w:basedOn w:val="CommentTextChar"/>
    <w:link w:val="CommentSubject"/>
    <w:semiHidden/>
    <w:rsid w:val="00F7586A"/>
    <w:rPr>
      <w:b/>
      <w:bCs/>
      <w:sz w:val="20"/>
      <w:szCs w:val="20"/>
    </w:rPr>
  </w:style>
  <w:style w:type="paragraph" w:styleId="BalloonText">
    <w:name w:val="Balloon Text"/>
    <w:basedOn w:val="Normal"/>
    <w:link w:val="BalloonTextChar"/>
    <w:semiHidden/>
    <w:unhideWhenUsed/>
    <w:rsid w:val="00EF46B8"/>
    <w:pPr>
      <w:spacing w:after="0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semiHidden/>
    <w:rsid w:val="00EF46B8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892210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10" Type="http://schemas.openxmlformats.org/officeDocument/2006/relationships/image" Target="media/image4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5</Pages>
  <Words>331</Words>
  <Characters>1876</Characters>
  <Application>Microsoft Office Word</Application>
  <DocSecurity>0</DocSecurity>
  <Lines>46</Lines>
  <Paragraphs>26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Monthly payment system analysis – December 2021</vt:lpstr>
    </vt:vector>
  </TitlesOfParts>
  <Company/>
  <LinksUpToDate>false</LinksUpToDate>
  <CharactersWithSpaces>2181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Monthly payment system analysis – December 2021</dc:title>
  <dc:creator>Naveen Kumar</dc:creator>
  <cp:keywords/>
  <cp:lastModifiedBy>RBIWebsite Support, Gaush</cp:lastModifiedBy>
  <cp:revision>5</cp:revision>
  <dcterms:created xsi:type="dcterms:W3CDTF">2022-08-26T11:54:00Z</dcterms:created>
  <dcterms:modified xsi:type="dcterms:W3CDTF">2022-08-26T12:50:00Z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output">
    <vt:lpwstr/>
  </property>
</Properties>
</file>